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header2.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footer4.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17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391"/>
        <w:gridCol w:w="970"/>
        <w:gridCol w:w="2960"/>
        <w:gridCol w:w="2852"/>
      </w:tblGrid>
      <w:tr>
        <w:trPr/>
        <w:tc>
          <w:tcPr>
            <w:tcW w:w="4361" w:type="dxa"/>
            <w:gridSpan w:val="2"/>
            <w:tcBorders/>
            <w:shd w:color="auto" w:fill="auto" w:val="clear"/>
          </w:tcPr>
          <w:p>
            <w:pPr>
              <w:pStyle w:val="Subtitle"/>
              <w:widowControl w:val="false"/>
              <w:numPr>
                <w:ilvl w:val="0"/>
                <w:numId w:val="0"/>
              </w:numPr>
              <w:ind w:left="0" w:hanging="0"/>
              <w:jc w:val="right"/>
              <w:outlineLvl w:val="0"/>
              <w:rPr>
                <w:rFonts w:eastAsia="BatangChe"/>
                <w:b/>
                <w:color w:val="002060"/>
                <w:spacing w:val="-5"/>
                <w:sz w:val="22"/>
                <w:szCs w:val="22"/>
              </w:rPr>
            </w:pPr>
            <w:r>
              <w:rPr>
                <w:rFonts w:eastAsia="BatangChe"/>
                <w:b/>
                <w:color w:val="002060"/>
                <w:spacing w:val="-5"/>
                <w:sz w:val="22"/>
                <w:szCs w:val="22"/>
              </w:rPr>
              <w:t>Договор поставки</w:t>
            </w:r>
          </w:p>
        </w:tc>
        <w:tc>
          <w:tcPr>
            <w:tcW w:w="5812" w:type="dxa"/>
            <w:gridSpan w:val="2"/>
            <w:tcBorders/>
            <w:shd w:color="auto" w:fill="auto" w:val="clear"/>
          </w:tcPr>
          <w:p>
            <w:pPr>
              <w:pStyle w:val="Subtitle"/>
              <w:widowControl w:val="false"/>
              <w:numPr>
                <w:ilvl w:val="0"/>
                <w:numId w:val="0"/>
              </w:numPr>
              <w:ind w:left="0" w:hanging="0"/>
              <w:jc w:val="both"/>
              <w:outlineLvl w:val="0"/>
              <w:rPr>
                <w:rFonts w:eastAsia="BatangChe"/>
                <w:b/>
                <w:color w:val="002060"/>
                <w:spacing w:val="-5"/>
                <w:sz w:val="22"/>
                <w:szCs w:val="22"/>
              </w:rPr>
            </w:pPr>
            <w:r>
              <w:rPr>
                <w:rFonts w:eastAsia="BatangChe"/>
                <w:b/>
                <w:color w:val="002060"/>
                <w:spacing w:val="-5"/>
                <w:sz w:val="22"/>
                <w:szCs w:val="22"/>
              </w:rPr>
              <w:t>Пост/МТР/___/____</w:t>
            </w:r>
          </w:p>
        </w:tc>
      </w:tr>
      <w:tr>
        <w:trPr/>
        <w:tc>
          <w:tcPr>
            <w:tcW w:w="3391" w:type="dxa"/>
            <w:tcBorders/>
            <w:shd w:color="auto" w:fill="auto" w:val="clear"/>
          </w:tcPr>
          <w:p>
            <w:pPr>
              <w:pStyle w:val="Normal"/>
              <w:widowControl w:val="false"/>
              <w:suppressAutoHyphens w:val="true"/>
              <w:jc w:val="both"/>
              <w:rPr>
                <w:rFonts w:eastAsia="BatangChe"/>
                <w:spacing w:val="-5"/>
                <w:sz w:val="22"/>
                <w:szCs w:val="22"/>
              </w:rPr>
            </w:pPr>
            <w:r>
              <w:rPr>
                <w:rFonts w:eastAsia="BatangChe"/>
                <w:spacing w:val="-5"/>
                <w:sz w:val="22"/>
                <w:szCs w:val="22"/>
              </w:rPr>
              <w:t>г. Якутск</w:t>
            </w:r>
          </w:p>
        </w:tc>
        <w:tc>
          <w:tcPr>
            <w:tcW w:w="3930" w:type="dxa"/>
            <w:gridSpan w:val="2"/>
            <w:tcBorders/>
            <w:shd w:color="auto" w:fill="auto" w:val="clear"/>
          </w:tcPr>
          <w:p>
            <w:pPr>
              <w:pStyle w:val="Normal"/>
              <w:widowControl w:val="false"/>
              <w:suppressAutoHyphens w:val="true"/>
              <w:jc w:val="both"/>
              <w:rPr>
                <w:rFonts w:eastAsia="BatangChe"/>
                <w:spacing w:val="-5"/>
                <w:sz w:val="22"/>
                <w:szCs w:val="22"/>
              </w:rPr>
            </w:pPr>
            <w:r>
              <w:rPr>
                <w:rFonts w:eastAsia="BatangChe"/>
                <w:spacing w:val="-5"/>
                <w:sz w:val="22"/>
                <w:szCs w:val="22"/>
              </w:rPr>
            </w:r>
          </w:p>
        </w:tc>
        <w:tc>
          <w:tcPr>
            <w:tcW w:w="2852" w:type="dxa"/>
            <w:tcBorders/>
            <w:shd w:color="auto" w:fill="auto" w:val="clear"/>
          </w:tcPr>
          <w:p>
            <w:pPr>
              <w:pStyle w:val="Normal"/>
              <w:widowControl w:val="false"/>
              <w:suppressAutoHyphens w:val="true"/>
              <w:jc w:val="right"/>
              <w:rPr>
                <w:rFonts w:eastAsia="BatangChe"/>
                <w:spacing w:val="-5"/>
                <w:sz w:val="22"/>
                <w:szCs w:val="22"/>
              </w:rPr>
            </w:pPr>
            <w:r>
              <w:rPr>
                <w:rFonts w:eastAsia="BatangChe"/>
                <w:spacing w:val="-5"/>
                <w:sz w:val="22"/>
                <w:szCs w:val="22"/>
              </w:rPr>
              <w:t>_____.________.2025</w:t>
            </w:r>
          </w:p>
        </w:tc>
      </w:tr>
    </w:tbl>
    <w:p>
      <w:pPr>
        <w:pStyle w:val="Heading1"/>
        <w:spacing w:before="120" w:after="0"/>
        <w:ind w:firstLine="284"/>
        <w:jc w:val="both"/>
        <w:rPr>
          <w:rFonts w:eastAsia="BatangChe"/>
          <w:color w:val="auto"/>
          <w:spacing w:val="-5"/>
          <w:sz w:val="22"/>
          <w:szCs w:val="22"/>
        </w:rPr>
      </w:pPr>
      <w:r>
        <w:rPr>
          <w:b/>
          <w:spacing w:val="-5"/>
          <w:sz w:val="22"/>
          <w:szCs w:val="22"/>
        </w:rPr>
        <w:t>Акционерное общество «Сахаэнерго» (АО «Сахаэнерго»)</w:t>
      </w:r>
      <w:r>
        <w:rPr>
          <w:spacing w:val="-5"/>
          <w:sz w:val="22"/>
          <w:szCs w:val="22"/>
        </w:rPr>
        <w:t>, в лице Генерального директора Кондратьева Петра Семеновича, действующего на основании Устава</w:t>
      </w:r>
      <w:r>
        <w:rPr>
          <w:rFonts w:eastAsia="BatangChe"/>
          <w:color w:val="auto"/>
          <w:spacing w:val="-5"/>
          <w:sz w:val="22"/>
          <w:szCs w:val="22"/>
        </w:rPr>
        <w:t>,</w:t>
      </w:r>
      <w:r>
        <w:rPr>
          <w:spacing w:val="-5"/>
          <w:sz w:val="22"/>
          <w:szCs w:val="22"/>
        </w:rPr>
        <w:t xml:space="preserve"> именуемое в дальнейшем «Покупатель», с одной стороны</w:t>
      </w:r>
      <w:r>
        <w:rPr>
          <w:rFonts w:eastAsia="BatangChe"/>
          <w:color w:val="auto"/>
          <w:spacing w:val="-5"/>
          <w:sz w:val="22"/>
          <w:szCs w:val="22"/>
        </w:rPr>
        <w:t>,</w:t>
      </w:r>
      <w:r>
        <w:rPr>
          <w:spacing w:val="-5"/>
          <w:sz w:val="22"/>
          <w:szCs w:val="22"/>
        </w:rPr>
        <w:t xml:space="preserve"> </w:t>
      </w:r>
      <w:r>
        <w:rPr>
          <w:rFonts w:eastAsia="BatangChe"/>
          <w:color w:val="auto"/>
          <w:spacing w:val="-5"/>
          <w:sz w:val="22"/>
          <w:szCs w:val="22"/>
        </w:rPr>
        <w:t xml:space="preserve"> и ____________________________________</w:t>
      </w:r>
      <w:r>
        <w:rPr>
          <w:rFonts w:eastAsia="BatangChe" w:cs="Times New Roman"/>
          <w:color w:val="auto"/>
          <w:spacing w:val="-5"/>
          <w:kern w:val="0"/>
          <w:sz w:val="22"/>
          <w:szCs w:val="22"/>
          <w:lang w:val="ru-RU" w:eastAsia="ru-RU" w:bidi="ar-SA"/>
        </w:rPr>
        <w:t>, в лице _________________</w:t>
      </w:r>
      <w:r>
        <w:rPr>
          <w:rFonts w:eastAsia="BatangChe"/>
          <w:color w:val="auto"/>
          <w:spacing w:val="-5"/>
          <w:sz w:val="22"/>
          <w:szCs w:val="22"/>
        </w:rPr>
        <w:t>, действующего на основании ______________а, именуемое в дальнейшем «Поставщик», с другой стороны, а при совместном упоминании – «Стороны», на основании Аналитической записки №____ от____ (для НЗ и УЗ среди МСП от 100 т.р. до 500 т.р.) / по результатам проведенной конкурентной закупочной процедуры по лоту №_____ «_______________________», что подтверждается Протоколом № ___ от ___.____.20___г. заключили настоящий Договор о нижеследующем:</w:t>
      </w:r>
    </w:p>
    <w:p>
      <w:pPr>
        <w:pStyle w:val="Heading1"/>
        <w:spacing w:before="120" w:after="0"/>
        <w:ind w:firstLine="284"/>
        <w:rPr>
          <w:rFonts w:eastAsia="BatangChe"/>
          <w:b/>
          <w:color w:val="002060"/>
          <w:spacing w:val="-5"/>
          <w:sz w:val="22"/>
          <w:szCs w:val="22"/>
        </w:rPr>
      </w:pPr>
      <w:r>
        <w:rPr>
          <w:rFonts w:eastAsia="BatangChe"/>
          <w:b/>
          <w:color w:val="002060"/>
          <w:spacing w:val="-5"/>
          <w:sz w:val="22"/>
          <w:szCs w:val="22"/>
        </w:rPr>
        <w:t>1. Предмет Договора</w:t>
      </w:r>
    </w:p>
    <w:p>
      <w:pPr>
        <w:pStyle w:val="Normal"/>
        <w:suppressAutoHyphens w:val="true"/>
        <w:ind w:firstLine="284"/>
        <w:jc w:val="both"/>
        <w:rPr>
          <w:spacing w:val="-5"/>
          <w:sz w:val="22"/>
          <w:szCs w:val="22"/>
        </w:rPr>
      </w:pPr>
      <w:r>
        <w:rPr>
          <w:color w:val="000000"/>
          <w:spacing w:val="-5"/>
          <w:sz w:val="22"/>
          <w:szCs w:val="22"/>
        </w:rPr>
        <w:t xml:space="preserve">1.1. В соответствии с настоящим Договором Поставщик обязуется поставить Покупателю товар производственно-технического назначения (далее товар), а Покупатель принять и оплатить товар </w:t>
      </w:r>
      <w:r>
        <w:rPr>
          <w:rFonts w:eastAsia="BatangChe"/>
          <w:color w:val="000000"/>
          <w:spacing w:val="-5"/>
          <w:sz w:val="22"/>
          <w:szCs w:val="22"/>
        </w:rPr>
        <w:t>для нужд Покупателя в соответствии со Спецификацией №1 (Приложение № 1) (далее – Товар).</w:t>
      </w:r>
    </w:p>
    <w:p>
      <w:pPr>
        <w:pStyle w:val="Normal"/>
        <w:suppressAutoHyphens w:val="true"/>
        <w:ind w:firstLine="284"/>
        <w:jc w:val="both"/>
        <w:rPr>
          <w:rFonts w:eastAsia="BatangChe"/>
          <w:color w:val="000000"/>
          <w:spacing w:val="-5"/>
          <w:sz w:val="22"/>
          <w:szCs w:val="22"/>
        </w:rPr>
      </w:pPr>
      <w:r>
        <w:rPr>
          <w:color w:val="000000"/>
          <w:spacing w:val="-5"/>
          <w:sz w:val="22"/>
          <w:szCs w:val="22"/>
        </w:rPr>
        <w:t>1.2. </w:t>
      </w:r>
      <w:r>
        <w:rPr>
          <w:rFonts w:eastAsia="BatangChe"/>
          <w:color w:val="000000"/>
          <w:spacing w:val="-5"/>
          <w:sz w:val="22"/>
          <w:szCs w:val="22"/>
        </w:rPr>
        <w:t xml:space="preserve">Поставляемый Товар должен соответствовать </w:t>
      </w:r>
      <w:r>
        <w:rPr>
          <w:spacing w:val="-5"/>
          <w:sz w:val="22"/>
          <w:szCs w:val="22"/>
        </w:rPr>
        <w:t>Спецификации № 1 (Приложение № 1 к настоящему Договору).</w:t>
      </w:r>
    </w:p>
    <w:p>
      <w:pPr>
        <w:pStyle w:val="Normal"/>
        <w:suppressAutoHyphens w:val="true"/>
        <w:ind w:firstLine="284"/>
        <w:jc w:val="both"/>
        <w:rPr>
          <w:color w:val="000000"/>
          <w:spacing w:val="-5"/>
          <w:sz w:val="22"/>
          <w:szCs w:val="22"/>
        </w:rPr>
      </w:pPr>
      <w:r>
        <w:rPr>
          <w:color w:val="000000"/>
          <w:spacing w:val="-5"/>
          <w:sz w:val="22"/>
          <w:szCs w:val="22"/>
        </w:rPr>
        <w:t>1.3. </w:t>
      </w:r>
      <w:r>
        <w:rPr>
          <w:sz w:val="22"/>
          <w:szCs w:val="22"/>
        </w:rPr>
        <w:t>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677004, РФ, РС (Я), г. Якутск, ул. Беринга, 42.</w:t>
      </w:r>
    </w:p>
    <w:p>
      <w:pPr>
        <w:pStyle w:val="Normal"/>
        <w:suppressAutoHyphens w:val="true"/>
        <w:ind w:firstLine="284"/>
        <w:jc w:val="both"/>
        <w:rPr>
          <w:color w:val="000000"/>
          <w:spacing w:val="-5"/>
          <w:sz w:val="22"/>
          <w:szCs w:val="22"/>
        </w:rPr>
      </w:pPr>
      <w:r>
        <w:rPr>
          <w:color w:val="000000"/>
          <w:spacing w:val="-5"/>
          <w:sz w:val="22"/>
          <w:szCs w:val="22"/>
        </w:rPr>
      </w:r>
    </w:p>
    <w:p>
      <w:pPr>
        <w:pStyle w:val="Normal"/>
        <w:suppressAutoHyphens w:val="true"/>
        <w:spacing w:before="120" w:after="60"/>
        <w:jc w:val="center"/>
        <w:rPr>
          <w:rFonts w:eastAsia="BatangChe"/>
          <w:b/>
          <w:color w:val="002060"/>
          <w:spacing w:val="-5"/>
          <w:sz w:val="22"/>
          <w:szCs w:val="22"/>
        </w:rPr>
      </w:pPr>
      <w:r>
        <w:rPr>
          <w:rFonts w:eastAsia="BatangChe"/>
          <w:b/>
          <w:color w:val="002060"/>
          <w:spacing w:val="-5"/>
          <w:sz w:val="22"/>
          <w:szCs w:val="22"/>
        </w:rPr>
        <w:t>2. Цена Договора и условия расчетов</w:t>
      </w:r>
    </w:p>
    <w:p>
      <w:pPr>
        <w:pStyle w:val="Normal"/>
        <w:suppressAutoHyphens w:val="true"/>
        <w:ind w:firstLine="284"/>
        <w:jc w:val="both"/>
        <w:rPr>
          <w:rFonts w:eastAsia="BatangChe"/>
          <w:color w:val="000000"/>
          <w:spacing w:val="-5"/>
          <w:sz w:val="22"/>
          <w:szCs w:val="22"/>
        </w:rPr>
      </w:pPr>
      <w:r>
        <w:rPr>
          <w:rFonts w:eastAsia="BatangChe"/>
          <w:color w:val="000000"/>
          <w:spacing w:val="-5"/>
          <w:sz w:val="22"/>
          <w:szCs w:val="22"/>
        </w:rPr>
        <w:t>2.</w:t>
      </w:r>
      <w:r>
        <w:rPr>
          <w:rFonts w:eastAsia="BatangChe" w:cs="Times New Roman"/>
          <w:color w:val="auto"/>
          <w:kern w:val="0"/>
          <w:sz w:val="22"/>
          <w:szCs w:val="22"/>
          <w:lang w:val="ru-RU" w:eastAsia="ru-RU" w:bidi="ar-SA"/>
        </w:rPr>
        <w:t>1. Цена Договора должны быть выражена (номинирована) в рублях Российской Федерации. 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suppressAutoHyphens w:val="true"/>
        <w:ind w:firstLine="284"/>
        <w:jc w:val="both"/>
        <w:rPr>
          <w:rFonts w:eastAsia="BatangChe"/>
          <w:b/>
          <w:color w:val="000000"/>
          <w:spacing w:val="-5"/>
          <w:sz w:val="22"/>
          <w:szCs w:val="22"/>
        </w:rPr>
      </w:pPr>
      <w:r>
        <w:rPr>
          <w:rFonts w:eastAsia="BatangChe"/>
          <w:color w:val="000000"/>
          <w:spacing w:val="-5"/>
          <w:sz w:val="22"/>
          <w:szCs w:val="22"/>
        </w:rPr>
        <w:t>2.4. </w:t>
      </w:r>
      <w:r>
        <w:rPr>
          <w:color w:val="000000"/>
          <w:spacing w:val="-5"/>
          <w:sz w:val="22"/>
          <w:szCs w:val="22"/>
        </w:rPr>
        <w:t>Цена настоящего Договора согласно Спецификации № 1 (Приложение № 1 к настоящему Договору) составляет</w:t>
      </w:r>
      <w:r>
        <w:rPr>
          <w:rFonts w:eastAsia="BatangChe"/>
          <w:b/>
          <w:bCs/>
          <w:sz w:val="22"/>
          <w:szCs w:val="22"/>
        </w:rPr>
        <w:t xml:space="preserve"> __________ </w:t>
      </w:r>
      <w:r>
        <w:rPr>
          <w:b/>
          <w:color w:val="000000"/>
          <w:spacing w:val="-5"/>
          <w:sz w:val="22"/>
          <w:szCs w:val="22"/>
        </w:rPr>
        <w:t xml:space="preserve">(___________________) руб. </w:t>
      </w:r>
      <w:r>
        <w:rPr>
          <w:rFonts w:eastAsia="BatangChe"/>
          <w:b/>
          <w:bCs/>
          <w:color w:val="000000"/>
          <w:spacing w:val="-5"/>
          <w:sz w:val="22"/>
          <w:szCs w:val="22"/>
        </w:rPr>
        <w:t>__</w:t>
      </w:r>
      <w:r>
        <w:rPr>
          <w:b/>
          <w:color w:val="000000"/>
          <w:spacing w:val="-5"/>
          <w:sz w:val="22"/>
          <w:szCs w:val="22"/>
        </w:rPr>
        <w:t xml:space="preserve"> коп., в том числе НДС </w:t>
      </w:r>
      <w:r>
        <w:rPr>
          <w:rFonts w:eastAsia="BatangChe"/>
          <w:b/>
          <w:bCs/>
          <w:sz w:val="22"/>
          <w:szCs w:val="22"/>
        </w:rPr>
        <w:t>(20%) _________ руб.</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2.3. </w:t>
        <w:tab/>
        <w:t xml:space="preserve">Цена Договора включает в себя прибыль Поставщика, а также все расходы и затраты Поставщика на: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2.3.1.</w:t>
        <w:tab/>
        <w:t>производство и / или приобретение Товара;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2.5. Расчет за товар, подлежащий поставке осуществляется  </w:t>
      </w:r>
      <w:r>
        <w:rPr>
          <w:rFonts w:eastAsia="BatangChe" w:cs="Times New Roman"/>
          <w:i/>
          <w:color w:val="00B0F0"/>
          <w:spacing w:val="-5"/>
          <w:kern w:val="0"/>
          <w:sz w:val="22"/>
          <w:szCs w:val="22"/>
          <w:lang w:val="ru-RU" w:eastAsia="ru-RU" w:bidi="ar-SA"/>
        </w:rPr>
        <w:t>в  течении  7 (семи) рабочих дней</w:t>
      </w:r>
      <w:r>
        <w:rPr>
          <w:rFonts w:eastAsia="BatangChe" w:cs="Times New Roman"/>
          <w:color w:val="000000"/>
          <w:spacing w:val="-5"/>
          <w:kern w:val="0"/>
          <w:sz w:val="22"/>
          <w:szCs w:val="22"/>
          <w:lang w:val="ru-RU" w:eastAsia="ru-RU" w:bidi="ar-SA"/>
        </w:rPr>
        <w:t xml:space="preserve"> с даты подписания Сторонами Накладной ТОРГ-12, на основании счета, выставленного Поставщиком, и с учетом пункта 2.7 Договора.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2.6.  Индексация цены Договора не предусматривается.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2.8. Поставщик обязан представить Покупателю счет-фактуру,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в течение 3 рабочих дней с даты получения соответствующего письменного требования Покупателя.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2.9. Поставщик обязан в течение 5(пяти) рабочих дней после отгрузки товара выставить счет-фактуру установленного образца, который предоставляется Покупателю по факсу и/или электронной почтой. Одновременно оригиналы счетов-фактур и прилагаемых к нему первичных документов Поставщик обязан направить почтой по указанному в Договоре адресу.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Счет-фактура должен быть оформлен в соответствии с требованиями действующего законодательства РФ. В случае, если счет-фактура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Стороны считают предоставление надлежаще оформленных счетов-фактур существенным условием Договора.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Поставщиком работ.</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Покупатель направляет Поставщику уведомление о проведении сальдо взаимных обязательств Сторон по Договору.</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3.1. Поставка товара производится Поставщиком согласно Спецификации (Приложение № 1 к настоящему Договору) одной партией в течение ___(_____) календарных дней с даты подписания настоящего Договора. </w:t>
      </w:r>
    </w:p>
    <w:p>
      <w:pPr>
        <w:pStyle w:val="Normal"/>
        <w:numPr>
          <w:ilvl w:val="0"/>
          <w:numId w:val="1"/>
        </w:numPr>
        <w:ind w:firstLine="284"/>
        <w:jc w:val="both"/>
        <w:rPr>
          <w:highlight w:val="none"/>
          <w:shd w:fill="auto" w:val="clear"/>
        </w:rPr>
      </w:pPr>
      <w:r>
        <w:rPr>
          <w:rFonts w:eastAsia="BatangChe" w:cs="Times New Roman"/>
          <w:color w:val="000000"/>
          <w:spacing w:val="-5"/>
          <w:kern w:val="0"/>
          <w:sz w:val="22"/>
          <w:szCs w:val="22"/>
          <w:shd w:fill="auto" w:val="clear"/>
          <w:lang w:val="ru-RU" w:eastAsia="ru-RU" w:bidi="ar-SA"/>
        </w:rPr>
        <w:t>3.2.  Риск утраты или порчи товара в процессе её доставки до пункта назначения Покупателя в г. Якутске несет Поставщик.</w:t>
      </w:r>
    </w:p>
    <w:p>
      <w:pPr>
        <w:pStyle w:val="Normal"/>
        <w:numPr>
          <w:ilvl w:val="0"/>
          <w:numId w:val="1"/>
        </w:numPr>
        <w:ind w:firstLine="284"/>
        <w:jc w:val="both"/>
        <w:rPr>
          <w:sz w:val="22"/>
          <w:szCs w:val="22"/>
          <w:highlight w:val="none"/>
          <w:shd w:fill="auto" w:val="clear"/>
        </w:rPr>
      </w:pPr>
      <w:r>
        <w:rPr>
          <w:rFonts w:eastAsia="BatangChe" w:cs="Times New Roman"/>
          <w:color w:val="000000"/>
          <w:spacing w:val="-5"/>
          <w:kern w:val="0"/>
          <w:sz w:val="22"/>
          <w:szCs w:val="22"/>
          <w:shd w:fill="auto" w:val="clear"/>
          <w:lang w:val="ru-RU" w:eastAsia="ru-RU" w:bidi="ar-SA"/>
        </w:rPr>
        <w:t xml:space="preserve">3.3. </w:t>
      </w:r>
      <w:r>
        <w:rPr>
          <w:rFonts w:eastAsia="BatangChe" w:cs="Times New Roman"/>
          <w:bCs/>
          <w:color w:val="000000"/>
          <w:spacing w:val="-5"/>
          <w:kern w:val="0"/>
          <w:sz w:val="22"/>
          <w:szCs w:val="22"/>
          <w:shd w:fill="auto" w:val="clear"/>
          <w:lang w:val="ru-RU" w:eastAsia="ru-RU" w:bidi="ar-SA"/>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rFonts w:eastAsia="BatangChe" w:cs="Times New Roman"/>
          <w:b/>
          <w:bCs/>
          <w:color w:val="000000"/>
          <w:spacing w:val="-5"/>
          <w:kern w:val="0"/>
          <w:sz w:val="22"/>
          <w:szCs w:val="22"/>
          <w:shd w:fill="auto" w:val="clear"/>
          <w:lang w:val="ru-RU" w:eastAsia="ru-RU" w:bidi="ar-SA"/>
        </w:rPr>
        <w:t xml:space="preserve"> </w:t>
      </w:r>
      <w:r>
        <w:rPr>
          <w:rFonts w:eastAsia="BatangChe" w:cs="Times New Roman"/>
          <w:bCs/>
          <w:color w:val="000000"/>
          <w:spacing w:val="-5"/>
          <w:kern w:val="0"/>
          <w:sz w:val="22"/>
          <w:szCs w:val="22"/>
          <w:shd w:fill="auto" w:val="clear"/>
          <w:lang w:val="ru-RU" w:eastAsia="ru-RU" w:bidi="ar-SA"/>
        </w:rPr>
        <w:t>в том числе, указанным в Спецификации (Приложение № 1 к Договору).</w:t>
      </w:r>
    </w:p>
    <w:p>
      <w:pPr>
        <w:pStyle w:val="Normal"/>
        <w:numPr>
          <w:ilvl w:val="0"/>
          <w:numId w:val="1"/>
        </w:numPr>
        <w:ind w:firstLine="284"/>
        <w:jc w:val="both"/>
        <w:rPr>
          <w:sz w:val="22"/>
          <w:szCs w:val="22"/>
          <w:highlight w:val="none"/>
          <w:shd w:fill="auto" w:val="clear"/>
        </w:rPr>
      </w:pPr>
      <w:r>
        <w:rPr>
          <w:rFonts w:eastAsia="BatangChe" w:cs="Times New Roman"/>
          <w:bCs/>
          <w:color w:val="000000"/>
          <w:spacing w:val="-5"/>
          <w:kern w:val="0"/>
          <w:sz w:val="22"/>
          <w:szCs w:val="22"/>
          <w:shd w:fill="auto" w:val="clear"/>
          <w:lang w:val="ru-RU" w:eastAsia="ru-RU" w:bidi="ar-SA"/>
        </w:rPr>
        <w:t xml:space="preserve">Поставщик не вправе производить </w:t>
      </w:r>
      <w:r>
        <w:rPr>
          <w:rFonts w:eastAsia="BatangChe" w:cs="Times New Roman"/>
          <w:color w:val="000000"/>
          <w:spacing w:val="-5"/>
          <w:kern w:val="0"/>
          <w:sz w:val="22"/>
          <w:szCs w:val="22"/>
          <w:shd w:fill="auto" w:val="clear"/>
          <w:lang w:val="ru-RU" w:eastAsia="ru-RU" w:bidi="ar-SA"/>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numPr>
          <w:ilvl w:val="0"/>
          <w:numId w:val="1"/>
        </w:numPr>
        <w:ind w:firstLine="284"/>
        <w:jc w:val="both"/>
        <w:rPr>
          <w:rFonts w:ascii="Times New Roman" w:hAnsi="Times New Roman"/>
          <w:sz w:val="22"/>
          <w:szCs w:val="22"/>
          <w:highlight w:val="none"/>
          <w:shd w:fill="auto" w:val="clear"/>
        </w:rPr>
      </w:pPr>
      <w:r>
        <w:rPr>
          <w:rFonts w:eastAsia="BatangChe" w:cs="Times New Roman"/>
          <w:color w:val="000000"/>
          <w:spacing w:val="-5"/>
          <w:kern w:val="0"/>
          <w:sz w:val="22"/>
          <w:szCs w:val="22"/>
          <w:shd w:fill="auto" w:val="clear"/>
          <w:lang w:val="ru-RU" w:eastAsia="ru-RU" w:bidi="ar-SA"/>
        </w:rPr>
        <w:t xml:space="preserve">3.4. </w:t>
      </w:r>
      <w:r>
        <w:rPr>
          <w:rFonts w:eastAsia="BatangChe" w:cs="Times New Roman"/>
          <w:bCs/>
          <w:color w:val="000000"/>
          <w:spacing w:val="-5"/>
          <w:kern w:val="0"/>
          <w:sz w:val="22"/>
          <w:szCs w:val="22"/>
          <w:shd w:fill="auto" w:val="clear"/>
          <w:lang w:val="ru-RU" w:eastAsia="ru-RU" w:bidi="ar-SA"/>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numPr>
          <w:ilvl w:val="0"/>
          <w:numId w:val="1"/>
        </w:numPr>
        <w:ind w:firstLine="284"/>
        <w:jc w:val="both"/>
        <w:rPr>
          <w:highlight w:val="none"/>
          <w:shd w:fill="auto" w:val="clear"/>
        </w:rPr>
      </w:pPr>
      <w:r>
        <w:rPr>
          <w:rFonts w:eastAsia="BatangChe" w:cs="Times New Roman"/>
          <w:color w:val="000000"/>
          <w:spacing w:val="-5"/>
          <w:kern w:val="0"/>
          <w:sz w:val="22"/>
          <w:szCs w:val="22"/>
          <w:shd w:fill="auto" w:val="clear"/>
          <w:lang w:val="ru-RU" w:eastAsia="ru-RU" w:bidi="ar-SA"/>
        </w:rPr>
        <w:t>3.5. В целях сохранности товара Поставщик обязан обеспечить:</w:t>
      </w:r>
    </w:p>
    <w:p>
      <w:pPr>
        <w:pStyle w:val="Normal"/>
        <w:numPr>
          <w:ilvl w:val="0"/>
          <w:numId w:val="1"/>
        </w:numPr>
        <w:jc w:val="both"/>
        <w:rPr>
          <w:rFonts w:ascii="Times New Roman" w:hAnsi="Times New Roman"/>
          <w:sz w:val="22"/>
          <w:szCs w:val="22"/>
          <w:highlight w:val="none"/>
          <w:shd w:fill="auto" w:val="clear"/>
        </w:rPr>
      </w:pPr>
      <w:r>
        <w:rPr>
          <w:rFonts w:eastAsia="BatangChe" w:cs="Times New Roman"/>
          <w:color w:val="000000"/>
          <w:spacing w:val="-5"/>
          <w:kern w:val="0"/>
          <w:sz w:val="22"/>
          <w:szCs w:val="22"/>
          <w:shd w:fill="auto" w:val="clear"/>
          <w:lang w:val="ru-RU" w:eastAsia="ru-RU" w:bidi="ar-SA"/>
        </w:rPr>
        <w:t>строгое соблюдение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w:t>
      </w:r>
    </w:p>
    <w:p>
      <w:pPr>
        <w:pStyle w:val="Normal"/>
        <w:numPr>
          <w:ilvl w:val="0"/>
          <w:numId w:val="1"/>
        </w:numPr>
        <w:jc w:val="both"/>
        <w:rPr>
          <w:highlight w:val="none"/>
          <w:shd w:fill="auto" w:val="clear"/>
        </w:rPr>
      </w:pPr>
      <w:r>
        <w:rPr>
          <w:rFonts w:eastAsia="BatangChe" w:cs="Times New Roman"/>
          <w:color w:val="000000"/>
          <w:spacing w:val="-5"/>
          <w:kern w:val="0"/>
          <w:sz w:val="22"/>
          <w:szCs w:val="22"/>
          <w:shd w:fill="auto" w:val="clear"/>
          <w:lang w:val="ru-RU" w:eastAsia="ru-RU" w:bidi="ar-SA"/>
        </w:rPr>
        <w:t>точное определение количества отгруженного товара (веса, количества мест: ящиков, мешков, связок, кип, пачек и т. д.);</w:t>
      </w:r>
    </w:p>
    <w:p>
      <w:pPr>
        <w:pStyle w:val="Normal"/>
        <w:numPr>
          <w:ilvl w:val="0"/>
          <w:numId w:val="1"/>
        </w:numPr>
        <w:jc w:val="both"/>
        <w:rPr>
          <w:highlight w:val="none"/>
          <w:shd w:fill="auto" w:val="clear"/>
        </w:rPr>
      </w:pPr>
      <w:r>
        <w:rPr>
          <w:rFonts w:eastAsia="BatangChe" w:cs="Times New Roman"/>
          <w:color w:val="000000"/>
          <w:spacing w:val="-5"/>
          <w:kern w:val="0"/>
          <w:sz w:val="22"/>
          <w:szCs w:val="22"/>
          <w:shd w:fill="auto" w:val="clear"/>
          <w:lang w:val="ru-RU" w:eastAsia="ru-RU" w:bidi="ar-SA"/>
        </w:rPr>
        <w:t>при отгрузке товара в упакованных или затаренных местах – вложение в каждое тарное место предусмотренного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1"/>
        </w:numPr>
        <w:ind w:left="502" w:hanging="294"/>
        <w:jc w:val="both"/>
        <w:rPr>
          <w:highlight w:val="none"/>
          <w:shd w:fill="auto" w:val="clear"/>
        </w:rPr>
      </w:pPr>
      <w:r>
        <w:rPr>
          <w:rFonts w:eastAsia="BatangChe" w:cs="Times New Roman"/>
          <w:color w:val="000000"/>
          <w:spacing w:val="-5"/>
          <w:kern w:val="0"/>
          <w:sz w:val="22"/>
          <w:szCs w:val="22"/>
          <w:shd w:fill="auto" w:val="clear"/>
          <w:lang w:val="ru-RU" w:eastAsia="ru-RU" w:bidi="ar-SA"/>
        </w:rPr>
        <w:t>четкое и ясное оформление отгрузочных и расчетных документов (в том числе счетов-фактур (УПД),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1"/>
        </w:numPr>
        <w:ind w:left="502" w:hanging="29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shd w:fill="auto" w:val="clear"/>
          <w:lang w:val="ru-RU" w:eastAsia="ru-RU" w:bidi="ar-SA"/>
        </w:rPr>
        <w:t>строгое соблюдение действующих на транспорте правил сдачи грузов к перевозке, их погрузки и крепления</w:t>
      </w:r>
      <w:r>
        <w:rPr>
          <w:rFonts w:eastAsia="BatangChe" w:cs="Times New Roman"/>
          <w:color w:val="000000"/>
          <w:spacing w:val="-5"/>
          <w:kern w:val="0"/>
          <w:sz w:val="22"/>
          <w:szCs w:val="22"/>
          <w:lang w:val="ru-RU" w:eastAsia="ru-RU" w:bidi="ar-SA"/>
        </w:rPr>
        <w:t>.</w:t>
      </w:r>
    </w:p>
    <w:p>
      <w:pPr>
        <w:pStyle w:val="Normal"/>
        <w:suppressAutoHyphens w:val="true"/>
        <w:ind w:firstLine="284"/>
        <w:jc w:val="both"/>
        <w:rPr>
          <w:rFonts w:eastAsia="BatangChe"/>
          <w:sz w:val="22"/>
          <w:szCs w:val="22"/>
        </w:rPr>
      </w:pPr>
      <w:r>
        <w:rPr>
          <w:rFonts w:eastAsia="BatangChe"/>
          <w:sz w:val="22"/>
          <w:szCs w:val="22"/>
        </w:rPr>
      </w:r>
    </w:p>
    <w:p>
      <w:pPr>
        <w:pStyle w:val="Normal"/>
        <w:suppressAutoHyphens w:val="true"/>
        <w:ind w:firstLine="284"/>
        <w:jc w:val="center"/>
        <w:rPr>
          <w:rFonts w:eastAsia="BatangChe"/>
          <w:b/>
          <w:color w:val="002060"/>
          <w:spacing w:val="-5"/>
          <w:sz w:val="22"/>
          <w:szCs w:val="22"/>
        </w:rPr>
      </w:pPr>
      <w:r>
        <w:rPr>
          <w:rFonts w:eastAsia="BatangChe"/>
          <w:b/>
          <w:color w:val="002060"/>
          <w:spacing w:val="-5"/>
          <w:sz w:val="22"/>
          <w:szCs w:val="22"/>
        </w:rPr>
        <w:t xml:space="preserve">4. </w:t>
      </w:r>
      <w:r>
        <w:rPr>
          <w:rFonts w:eastAsia="BatangChe"/>
          <w:b/>
          <w:bCs/>
          <w:color w:val="002060"/>
          <w:sz w:val="22"/>
          <w:szCs w:val="22"/>
        </w:rPr>
        <w:t>Качество Товара и его приемка</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4.1. Качество поставляемого товара должно точно соответствовать условиям Технического задания и иметь сертификаты качества.</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w:t>
      </w:r>
      <w:r>
        <w:rPr>
          <w:rFonts w:eastAsia="Times New Roman" w:cs="Times New Roman"/>
          <w:color w:val="000000"/>
          <w:spacing w:val="-5"/>
          <w:kern w:val="0"/>
          <w:sz w:val="22"/>
          <w:szCs w:val="22"/>
          <w:lang w:val="ru-RU" w:eastAsia="ru-RU" w:bidi="ar-SA"/>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w:t>
      </w:r>
      <w:r>
        <w:rPr>
          <w:rFonts w:eastAsia="Times New Roman" w:cs="Times New Roman"/>
          <w:color w:val="000000"/>
          <w:spacing w:val="-5"/>
          <w:kern w:val="0"/>
          <w:sz w:val="22"/>
          <w:szCs w:val="22"/>
          <w:lang w:val="ru-RU" w:eastAsia="ru-RU" w:bidi="ar-SA"/>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w:t>
      </w:r>
      <w:r>
        <w:rPr>
          <w:rFonts w:eastAsia="Times New Roman" w:cs="Times New Roman"/>
          <w:color w:val="000000"/>
          <w:spacing w:val="-5"/>
          <w:kern w:val="0"/>
          <w:sz w:val="22"/>
          <w:szCs w:val="22"/>
          <w:lang w:val="ru-RU" w:eastAsia="ru-RU" w:bidi="ar-SA"/>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suppressAutoHyphens w:val="true"/>
        <w:ind w:firstLine="284"/>
        <w:jc w:val="both"/>
        <w:rPr>
          <w:rFonts w:ascii="Times New Roman" w:hAnsi="Times New Roman" w:eastAsia="Times New Roman" w:cs="Times New Roman"/>
          <w:color w:val="000000"/>
          <w:spacing w:val="-5"/>
          <w:kern w:val="0"/>
          <w:sz w:val="22"/>
          <w:szCs w:val="22"/>
          <w:lang w:val="ru-RU" w:eastAsia="ru-RU" w:bidi="ar-SA"/>
        </w:rPr>
      </w:pPr>
      <w:r>
        <w:rPr>
          <w:rFonts w:eastAsia="Times New Roman" w:cs="Times New Roman"/>
          <w:color w:val="000000"/>
          <w:spacing w:val="-5"/>
          <w:kern w:val="0"/>
          <w:sz w:val="22"/>
          <w:szCs w:val="22"/>
          <w:lang w:val="ru-RU" w:eastAsia="ru-RU" w:bidi="ar-SA"/>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uppressAutoHyphens w:val="true"/>
        <w:ind w:firstLine="284"/>
        <w:jc w:val="both"/>
        <w:rPr>
          <w:rFonts w:eastAsia="BatangChe"/>
          <w:color w:val="000000"/>
          <w:spacing w:val="-5"/>
          <w:sz w:val="22"/>
          <w:szCs w:val="22"/>
        </w:rPr>
      </w:pPr>
      <w:r>
        <w:rPr>
          <w:rFonts w:eastAsia="BatangChe"/>
          <w:color w:val="000000"/>
          <w:spacing w:val="-5"/>
          <w:sz w:val="22"/>
          <w:szCs w:val="22"/>
        </w:rPr>
      </w:r>
    </w:p>
    <w:p>
      <w:pPr>
        <w:pStyle w:val="Normal"/>
        <w:suppressAutoHyphens w:val="true"/>
        <w:spacing w:before="120" w:after="60"/>
        <w:jc w:val="center"/>
        <w:rPr>
          <w:rFonts w:eastAsia="BatangChe"/>
          <w:b/>
          <w:color w:val="002060"/>
          <w:spacing w:val="-5"/>
          <w:sz w:val="22"/>
          <w:szCs w:val="22"/>
        </w:rPr>
      </w:pPr>
      <w:r>
        <w:rPr>
          <w:rFonts w:eastAsia="BatangChe"/>
          <w:b/>
          <w:color w:val="002060"/>
          <w:spacing w:val="-5"/>
          <w:sz w:val="22"/>
          <w:szCs w:val="22"/>
        </w:rPr>
        <w:t xml:space="preserve">5. </w:t>
      </w:r>
      <w:r>
        <w:rPr>
          <w:rFonts w:eastAsia="BatangChe"/>
          <w:b/>
          <w:bCs/>
          <w:color w:val="002060"/>
          <w:sz w:val="22"/>
          <w:szCs w:val="22"/>
        </w:rPr>
        <w:t>Гарантийные обязательства</w:t>
      </w:r>
    </w:p>
    <w:p>
      <w:pPr>
        <w:pStyle w:val="Normal"/>
        <w:suppressAutoHyphens w:val="true"/>
        <w:ind w:firstLine="284"/>
        <w:jc w:val="both"/>
        <w:rPr>
          <w:rFonts w:eastAsia="BatangChe"/>
          <w:color w:val="000000"/>
          <w:spacing w:val="-5"/>
          <w:sz w:val="22"/>
          <w:szCs w:val="22"/>
        </w:rPr>
      </w:pPr>
      <w:r>
        <w:rPr>
          <w:rFonts w:eastAsia="BatangChe"/>
          <w:color w:val="000000"/>
          <w:spacing w:val="-5"/>
          <w:sz w:val="22"/>
          <w:szCs w:val="22"/>
        </w:rPr>
        <w:t xml:space="preserve">5.1. На Товар устанавливается гарантийный срок, равный установленному заводом-изготовителем, </w:t>
      </w:r>
      <w:r>
        <w:rPr>
          <w:spacing w:val="-5"/>
          <w:sz w:val="22"/>
          <w:szCs w:val="22"/>
        </w:rPr>
        <w:t>но не менее 18 (восемнадцать) месяцев, который подлежит исчислению с даты подписания Сторонами товарной накладной по форме ТОРГ-12</w:t>
      </w:r>
      <w:r>
        <w:rPr>
          <w:rFonts w:eastAsia="BatangChe"/>
          <w:spacing w:val="-5"/>
          <w:sz w:val="22"/>
          <w:szCs w:val="22"/>
        </w:rPr>
        <w:t xml:space="preserve"> </w:t>
      </w:r>
      <w:r>
        <w:rPr>
          <w:rFonts w:eastAsia="BatangChe"/>
          <w:color w:val="000000"/>
          <w:spacing w:val="-5"/>
          <w:sz w:val="22"/>
          <w:szCs w:val="22"/>
        </w:rPr>
        <w:t>(далее – «Гарантийный срок»).</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5.3. О предъявлении претензий по качеству Поставщику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5.4. 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5.6. В случае замены дефектного товара Поставщиком гарантийные сроки, указанные в п. 5.1. Договора, продлеваются на период повторной поставки.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В случае ремонта, замены дефектного оборудования или его части по вине Поставщика гарантийные сроки, указанные в п. 5.1. Договора, продлеваются на период, в течение которого оборудование из-за возникших дефектов простаивало.</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5.7. При наступлении гарантийного случая Поставщик обязуется за свой счет вывезти из места нахождения товар, оказавшийся дефектным, и за свой счет взамен поставить новый товар, а при наличии обязательного присутствия представителя Поставщика для составления дефектного акта обязуется за свой счет в 3 (трех)-дневный срок направить своего представителя с надлежаще оформленными полномочиями.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5.8. Принятие Покупателем поставленного товара не освобождает Поставщика от ответственности до окончания гарантийного срока.</w:t>
      </w:r>
    </w:p>
    <w:p>
      <w:pPr>
        <w:pStyle w:val="Normal"/>
        <w:suppressAutoHyphens w:val="true"/>
        <w:spacing w:before="120" w:after="60"/>
        <w:jc w:val="center"/>
        <w:rPr>
          <w:rFonts w:eastAsia="BatangChe"/>
          <w:b/>
          <w:color w:val="002060"/>
          <w:spacing w:val="-5"/>
          <w:sz w:val="22"/>
          <w:szCs w:val="22"/>
        </w:rPr>
      </w:pPr>
      <w:r>
        <w:rPr>
          <w:rFonts w:eastAsia="BatangChe"/>
          <w:b/>
          <w:color w:val="002060"/>
          <w:spacing w:val="-5"/>
          <w:sz w:val="22"/>
          <w:szCs w:val="22"/>
        </w:rPr>
        <w:t xml:space="preserve">6. </w:t>
      </w:r>
      <w:r>
        <w:rPr>
          <w:rFonts w:eastAsia="BatangChe"/>
          <w:b/>
          <w:bCs/>
          <w:color w:val="002060"/>
          <w:sz w:val="22"/>
          <w:szCs w:val="22"/>
        </w:rPr>
        <w:t>Обязательства сторон</w:t>
      </w:r>
    </w:p>
    <w:p>
      <w:pPr>
        <w:pStyle w:val="Normal"/>
        <w:spacing w:before="120" w:after="0"/>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6.1. Поставщик обязуется: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6.1.1. поставить товар в соответствии с условиями настоящего Договора;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6.1.2. в 5(пяти)-дневный срок с момента отправки товара представить факс-копию товарно-транспортной накладной и счета(ов)-фактур Покупателю об отправке товара до пункта назначения в г. Якутске. Оригинал(ы) счета(ов)-фактур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поставленную товар.</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6.2. Покупатель обязуется: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6.2.1. принять товар в течение 1(одного) дня с момента поступления на пункт назначения Покупателя г. Якутск;</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6.2.3. оплатить товар в соответствии с условиями настоящего Договора.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suppressAutoHyphens w:val="true"/>
        <w:spacing w:before="120" w:after="60"/>
        <w:jc w:val="center"/>
        <w:rPr>
          <w:rFonts w:eastAsia="BatangChe"/>
          <w:b/>
          <w:color w:val="002060"/>
          <w:spacing w:val="-5"/>
          <w:sz w:val="22"/>
          <w:szCs w:val="22"/>
        </w:rPr>
      </w:pPr>
      <w:r>
        <w:rPr>
          <w:rFonts w:eastAsia="BatangChe"/>
          <w:b/>
          <w:color w:val="002060"/>
          <w:spacing w:val="-5"/>
          <w:sz w:val="22"/>
          <w:szCs w:val="22"/>
        </w:rPr>
        <w:t>7. Ответственность сторон</w:t>
      </w:r>
    </w:p>
    <w:p>
      <w:pPr>
        <w:pStyle w:val="Normal"/>
        <w:spacing w:lineRule="auto" w:line="264"/>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    </w:t>
      </w:r>
      <w:r>
        <w:rPr>
          <w:rFonts w:eastAsia="BatangChe" w:cs="Times New Roman"/>
          <w:color w:val="000000"/>
          <w:spacing w:val="-5"/>
          <w:kern w:val="0"/>
          <w:sz w:val="22"/>
          <w:szCs w:val="22"/>
          <w:lang w:val="ru-RU" w:eastAsia="ru-RU" w:bidi="ar-SA"/>
        </w:rPr>
        <w:t>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    </w:t>
      </w:r>
      <w:r>
        <w:rPr>
          <w:rFonts w:eastAsia="BatangChe" w:cs="Times New Roman"/>
          <w:color w:val="000000"/>
          <w:spacing w:val="-5"/>
          <w:kern w:val="0"/>
          <w:sz w:val="22"/>
          <w:szCs w:val="22"/>
          <w:lang w:val="ru-RU" w:eastAsia="ru-RU" w:bidi="ar-SA"/>
        </w:rPr>
        <w:t>7.3. В случае несвоевременного устранения Поставщиком выявленных недостатков товара, Покупатель вправе потребовать уплаты Продавцом:</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  </w:t>
      </w:r>
      <w:r>
        <w:rPr>
          <w:rFonts w:eastAsia="BatangChe" w:cs="Times New Roman"/>
          <w:color w:val="000000"/>
          <w:spacing w:val="-5"/>
          <w:kern w:val="0"/>
          <w:sz w:val="22"/>
          <w:szCs w:val="22"/>
          <w:lang w:val="ru-RU" w:eastAsia="ru-RU" w:bidi="ar-SA"/>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7.5. 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В случае нарушения Поставщиком сроков предоставления счетов-фактур, установленных п. 2.7, 2.9</w:t>
      </w:r>
      <w:bookmarkStart w:id="0" w:name="_GoBack"/>
      <w:bookmarkEnd w:id="0"/>
      <w:r>
        <w:rPr>
          <w:rFonts w:eastAsia="BatangChe" w:cs="Times New Roman"/>
          <w:color w:val="000000"/>
          <w:spacing w:val="-5"/>
          <w:kern w:val="0"/>
          <w:sz w:val="22"/>
          <w:szCs w:val="22"/>
          <w:lang w:val="ru-RU" w:eastAsia="ru-RU" w:bidi="ar-SA"/>
        </w:rPr>
        <w:t xml:space="preserve"> Договора, Покупатель вправе требовать уплаты Поставщиком штрафа в размере 50 000 (Пятидесяти тысяч) рублей за каждый случай нарушения.</w:t>
      </w:r>
    </w:p>
    <w:p>
      <w:pPr>
        <w:pStyle w:val="Normal"/>
        <w:ind w:firstLine="360"/>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Normal"/>
        <w:shd w:val="clear" w:color="auto" w:fill="FFFFFF"/>
        <w:tabs>
          <w:tab w:val="clear" w:pos="720"/>
          <w:tab w:val="left" w:pos="9639"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shd w:val="clear" w:color="auto" w:fill="FFFFFF"/>
        <w:tabs>
          <w:tab w:val="clear" w:pos="720"/>
          <w:tab w:val="left" w:pos="9639"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7.9.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7.10.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shd w:val="clear" w:color="auto" w:fill="FFFFFF"/>
        <w:tabs>
          <w:tab w:val="clear" w:pos="720"/>
          <w:tab w:val="left" w:pos="9639"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7.11. 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 сумма неустойки, подлежащая уплате виновной Стороной, определяется на основании решения суда.</w:t>
      </w:r>
    </w:p>
    <w:p>
      <w:pPr>
        <w:pStyle w:val="Normal"/>
        <w:spacing w:before="120" w:after="120"/>
        <w:jc w:val="center"/>
        <w:rPr>
          <w:b/>
          <w:color w:val="002060"/>
          <w:sz w:val="24"/>
          <w:szCs w:val="24"/>
        </w:rPr>
      </w:pPr>
      <w:r>
        <w:rPr>
          <w:b/>
          <w:color w:val="002060"/>
          <w:sz w:val="24"/>
          <w:szCs w:val="24"/>
        </w:rPr>
        <w:t>8. Форс-мажор</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8.1.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8.2.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8.3. Если указанные обстоятельства продолжаются свыше 2(двух)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20"/>
          <w:tab w:val="left" w:pos="1134"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8.4.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hd w:val="clear" w:color="auto" w:fill="FFFFFF"/>
        <w:tabs>
          <w:tab w:val="clear" w:pos="720"/>
          <w:tab w:val="left" w:pos="1134"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r>
    </w:p>
    <w:p>
      <w:pPr>
        <w:pStyle w:val="Normal"/>
        <w:spacing w:before="120" w:after="120"/>
        <w:jc w:val="center"/>
        <w:rPr>
          <w:b/>
          <w:color w:val="002060"/>
          <w:sz w:val="24"/>
          <w:szCs w:val="24"/>
        </w:rPr>
      </w:pPr>
      <w:r>
        <w:rPr>
          <w:b/>
          <w:color w:val="002060"/>
          <w:sz w:val="24"/>
          <w:szCs w:val="24"/>
        </w:rPr>
        <w:t>9. Срок действия Договора</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9.1. Настоящий Договор вступает в силу с момента его подписания и действует до полного исполнения обязательств Сторонами.</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9.2. В случае нарушения Поставщиком обязательств по поставке на срок свыше 60 (шестьдесят)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и/или результаты работ, ранее принятые по Договору, и потребовать возврата уплаченных денежных средств.</w:t>
      </w:r>
    </w:p>
    <w:p>
      <w:pPr>
        <w:pStyle w:val="Normal"/>
        <w:tabs>
          <w:tab w:val="clear" w:pos="720"/>
          <w:tab w:val="left" w:pos="1247" w:leader="none"/>
        </w:tabs>
        <w:ind w:firstLine="284"/>
        <w:jc w:val="both"/>
        <w:rPr>
          <w:sz w:val="24"/>
          <w:szCs w:val="24"/>
        </w:rPr>
      </w:pPr>
      <w:r>
        <w:rPr>
          <w:sz w:val="24"/>
          <w:szCs w:val="24"/>
        </w:rPr>
      </w:r>
    </w:p>
    <w:p>
      <w:pPr>
        <w:pStyle w:val="Normal"/>
        <w:spacing w:before="0" w:after="120"/>
        <w:jc w:val="center"/>
        <w:rPr>
          <w:b/>
          <w:color w:val="002060"/>
          <w:sz w:val="24"/>
          <w:szCs w:val="24"/>
        </w:rPr>
      </w:pPr>
      <w:r>
        <w:rPr>
          <w:b/>
          <w:color w:val="002060"/>
          <w:sz w:val="24"/>
          <w:szCs w:val="24"/>
        </w:rPr>
        <w:t>10. Рассмотрение споров</w:t>
      </w:r>
    </w:p>
    <w:p>
      <w:pPr>
        <w:pStyle w:val="Normal"/>
        <w:tabs>
          <w:tab w:val="clear" w:pos="720"/>
          <w:tab w:val="left" w:pos="0" w:leader="none"/>
        </w:tabs>
        <w:ind w:right="-2" w:hanging="0"/>
        <w:jc w:val="both"/>
        <w:rPr>
          <w:sz w:val="24"/>
          <w:szCs w:val="24"/>
        </w:rPr>
      </w:pPr>
      <w:r>
        <w:rPr>
          <w:sz w:val="24"/>
          <w:szCs w:val="24"/>
        </w:rPr>
        <w:t xml:space="preserve">      </w:t>
      </w:r>
      <w:r>
        <w:rPr>
          <w:rFonts w:eastAsia="BatangChe" w:cs="Times New Roman"/>
          <w:color w:val="000000"/>
          <w:spacing w:val="-5"/>
          <w:kern w:val="0"/>
          <w:sz w:val="22"/>
          <w:szCs w:val="22"/>
          <w:lang w:val="ru-RU" w:eastAsia="ru-RU" w:bidi="ar-SA"/>
        </w:rPr>
        <w:t xml:space="preserve">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tabs>
          <w:tab w:val="clear" w:pos="720"/>
          <w:tab w:val="left" w:pos="0" w:leader="none"/>
        </w:tabs>
        <w:ind w:right="-2" w:hanging="0"/>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ab/>
        <w:t>Претензия влечет гражданско-правовые последствия для адресата с момента доставки ему или его представителю.</w:t>
      </w:r>
    </w:p>
    <w:p>
      <w:pPr>
        <w:pStyle w:val="Normal"/>
        <w:tabs>
          <w:tab w:val="clear" w:pos="720"/>
          <w:tab w:val="left" w:pos="-567" w:leader="none"/>
        </w:tabs>
        <w:ind w:left="-567" w:right="-2" w:hanging="0"/>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ab/>
        <w:t>Претензия считается доставленной, если она:</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поступила адресату, но по зависящим от него обстоятельствам не была вручена или адресат не ознакомился с ней;</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ab/>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ab/>
        <w:t xml:space="preserve">10.2.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uppressAutoHyphens w:val="true"/>
        <w:spacing w:before="120" w:after="60"/>
        <w:jc w:val="center"/>
        <w:rPr>
          <w:rFonts w:eastAsia="BatangChe"/>
          <w:b/>
          <w:color w:val="002060"/>
          <w:spacing w:val="-5"/>
          <w:sz w:val="22"/>
          <w:szCs w:val="22"/>
        </w:rPr>
      </w:pPr>
      <w:r>
        <w:rPr>
          <w:rFonts w:eastAsia="BatangChe"/>
          <w:b/>
          <w:color w:val="002060"/>
          <w:spacing w:val="-5"/>
          <w:sz w:val="22"/>
          <w:szCs w:val="22"/>
        </w:rPr>
        <w:t>11. Дополнительные условия</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11.2. В соответствии с пунктом 4.10 "Организационно-распорядительного документа. Требования к оформлению документов. Методические рекомендации по внедрению ГОСТ Р 7.0.97-2016 (утв. Росархивом) датой подписания договора считается дата последнего подписанта.</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факсом, электронной почтой (в т.ч. ксерокопия и сканкопия данных документов) являются действительными и имеют юридическую силу до получения Сторонами оригиналов по почте.</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11.4. 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11.5 Договора.</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11.5. 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11.5.1.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11.5.2.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Normal"/>
        <w:tabs>
          <w:tab w:val="clear" w:pos="720"/>
          <w:tab w:val="left" w:pos="1247" w:leader="none"/>
        </w:tabs>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11.5.3. 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20"/>
          <w:tab w:val="left" w:pos="0" w:leader="none"/>
          <w:tab w:val="left" w:pos="1418" w:leader="none"/>
          <w:tab w:val="left" w:pos="1701" w:leader="none"/>
        </w:tabs>
        <w:spacing w:lineRule="auto" w:line="276"/>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11.5.1 – 11.5.2 Договора. </w:t>
      </w:r>
    </w:p>
    <w:p>
      <w:pPr>
        <w:pStyle w:val="Normal"/>
        <w:shd w:val="clear" w:color="auto" w:fill="FFFFFF"/>
        <w:tabs>
          <w:tab w:val="clear" w:pos="720"/>
          <w:tab w:val="left" w:pos="0" w:leader="none"/>
          <w:tab w:val="left" w:pos="1418" w:leader="none"/>
          <w:tab w:val="left" w:pos="1701" w:leader="none"/>
        </w:tabs>
        <w:spacing w:lineRule="auto" w:line="276"/>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11.6. Договор может быть расторгнут:</w:t>
      </w:r>
    </w:p>
    <w:p>
      <w:pPr>
        <w:pStyle w:val="Normal"/>
        <w:tabs>
          <w:tab w:val="clear" w:pos="720"/>
          <w:tab w:val="left" w:pos="1247" w:leader="none"/>
        </w:tabs>
        <w:ind w:firstLine="284"/>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по согласованию Сторон;</w:t>
      </w:r>
    </w:p>
    <w:p>
      <w:pPr>
        <w:pStyle w:val="Normal"/>
        <w:tabs>
          <w:tab w:val="clear" w:pos="720"/>
          <w:tab w:val="left" w:pos="1247" w:leader="none"/>
        </w:tabs>
        <w:ind w:firstLine="284"/>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по решению суда;</w:t>
      </w:r>
    </w:p>
    <w:p>
      <w:pPr>
        <w:pStyle w:val="Normal"/>
        <w:tabs>
          <w:tab w:val="clear" w:pos="720"/>
          <w:tab w:val="left" w:pos="1247" w:leader="none"/>
        </w:tabs>
        <w:ind w:firstLine="284"/>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 по форс-мажорным обстоятельствам.</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11.7.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11.8. Нижеперечисленные документы образуют приложения к настоящему Договору и являются его неотъемлемой частью:</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1. Спецификация № 1- Приложение № 1 на 1 листе;</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2. Антикоррупционная оговорка - Приложение № 2 на 1 листе;</w:t>
      </w:r>
    </w:p>
    <w:p>
      <w:pPr>
        <w:pStyle w:val="Normal"/>
        <w:jc w:val="both"/>
        <w:rPr>
          <w:rFonts w:ascii="Times New Roman" w:hAnsi="Times New Roman" w:eastAsia="BatangChe" w:cs="Times New Roman"/>
          <w:color w:val="000000"/>
          <w:spacing w:val="-5"/>
          <w:kern w:val="0"/>
          <w:sz w:val="22"/>
          <w:szCs w:val="22"/>
          <w:lang w:val="ru-RU" w:eastAsia="ru-RU" w:bidi="ar-SA"/>
        </w:rPr>
      </w:pPr>
      <w:r>
        <w:rPr>
          <w:rFonts w:eastAsia="BatangChe" w:cs="Times New Roman"/>
          <w:color w:val="000000"/>
          <w:spacing w:val="-5"/>
          <w:kern w:val="0"/>
          <w:sz w:val="22"/>
          <w:szCs w:val="22"/>
          <w:lang w:val="ru-RU" w:eastAsia="ru-RU" w:bidi="ar-SA"/>
        </w:rPr>
        <w:t>3. Соглашение об использовании электронного документооборота – Приложение № 3 на  11 листах.</w:t>
      </w:r>
    </w:p>
    <w:p>
      <w:pPr>
        <w:pStyle w:val="Normal"/>
        <w:tabs>
          <w:tab w:val="clear" w:pos="720"/>
          <w:tab w:val="left" w:pos="1247" w:leader="none"/>
        </w:tabs>
        <w:ind w:firstLine="284"/>
        <w:jc w:val="both"/>
        <w:rPr/>
      </w:pPr>
      <w:r>
        <w:rPr>
          <w:rFonts w:eastAsia="BatangChe" w:cs="Times New Roman"/>
          <w:color w:val="000000"/>
          <w:spacing w:val="-5"/>
          <w:kern w:val="0"/>
          <w:sz w:val="22"/>
          <w:szCs w:val="22"/>
          <w:lang w:val="ru-RU" w:eastAsia="ru-RU" w:bidi="ar-SA"/>
        </w:rPr>
        <w:t>11.9. Настоящий Договор составлен на русском языке на 21 (двадцати одном) листе по одному экземпляру для каждой стороны, при этом каждый экземпляр имеет равную юридическую силу.</w:t>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tabs>
          <w:tab w:val="clear" w:pos="720"/>
          <w:tab w:val="left" w:pos="1247" w:leader="none"/>
        </w:tabs>
        <w:suppressAutoHyphens w:val="true"/>
        <w:ind w:firstLine="284"/>
        <w:jc w:val="both"/>
        <w:rPr>
          <w:rFonts w:eastAsia="BatangChe"/>
          <w:spacing w:val="-5"/>
          <w:sz w:val="22"/>
          <w:szCs w:val="22"/>
        </w:rPr>
      </w:pPr>
      <w:r>
        <w:rPr>
          <w:rFonts w:eastAsia="BatangChe"/>
          <w:spacing w:val="-5"/>
          <w:sz w:val="22"/>
          <w:szCs w:val="22"/>
        </w:rPr>
      </w:r>
    </w:p>
    <w:p>
      <w:pPr>
        <w:pStyle w:val="Normal"/>
        <w:suppressAutoHyphens w:val="true"/>
        <w:spacing w:before="120" w:after="120"/>
        <w:jc w:val="center"/>
        <w:rPr>
          <w:rFonts w:eastAsia="BatangChe"/>
          <w:b/>
          <w:color w:val="002060"/>
          <w:spacing w:val="-5"/>
          <w:sz w:val="22"/>
          <w:szCs w:val="22"/>
        </w:rPr>
      </w:pPr>
      <w:r>
        <w:rPr>
          <w:rFonts w:eastAsia="BatangChe"/>
          <w:b/>
          <w:color w:val="002060"/>
          <w:spacing w:val="-5"/>
          <w:sz w:val="22"/>
          <w:szCs w:val="22"/>
        </w:rPr>
        <w:t>12. Юридические адреса сторон</w:t>
      </w:r>
    </w:p>
    <w:p>
      <w:pPr>
        <w:pStyle w:val="Normal"/>
        <w:suppressAutoHyphens w:val="true"/>
        <w:ind w:firstLine="284"/>
        <w:jc w:val="both"/>
        <w:rPr>
          <w:rFonts w:eastAsia="BatangChe"/>
          <w:color w:val="000000"/>
          <w:spacing w:val="-5"/>
          <w:sz w:val="22"/>
          <w:szCs w:val="22"/>
        </w:rPr>
      </w:pPr>
      <w:r>
        <w:rPr>
          <w:rFonts w:eastAsia="BatangChe"/>
          <w:color w:val="000000"/>
          <w:spacing w:val="-5"/>
          <w:sz w:val="22"/>
          <w:szCs w:val="22"/>
        </w:rPr>
        <w:t>12.1. В случае изменения юридического адреса или обслуживающего</w:t>
      </w:r>
      <w:r>
        <w:rPr>
          <w:rFonts w:eastAsia="BatangChe"/>
          <w:spacing w:val="-5"/>
          <w:sz w:val="22"/>
          <w:szCs w:val="22"/>
        </w:rPr>
        <w:t xml:space="preserve"> </w:t>
      </w:r>
      <w:r>
        <w:rPr>
          <w:rFonts w:eastAsia="BatangChe"/>
          <w:color w:val="000000"/>
          <w:spacing w:val="-5"/>
          <w:sz w:val="22"/>
          <w:szCs w:val="22"/>
        </w:rPr>
        <w:t>банка стороны Договора обязаны в 3 (трех) - дневный срок уведомить об этом</w:t>
      </w:r>
      <w:r>
        <w:rPr>
          <w:rFonts w:eastAsia="BatangChe"/>
          <w:spacing w:val="-5"/>
          <w:sz w:val="22"/>
          <w:szCs w:val="22"/>
        </w:rPr>
        <w:t xml:space="preserve"> </w:t>
      </w:r>
      <w:r>
        <w:rPr>
          <w:rFonts w:eastAsia="BatangChe"/>
          <w:color w:val="000000"/>
          <w:spacing w:val="-5"/>
          <w:sz w:val="22"/>
          <w:szCs w:val="22"/>
        </w:rPr>
        <w:t>друг друга.</w:t>
      </w:r>
    </w:p>
    <w:p>
      <w:pPr>
        <w:pStyle w:val="Normal"/>
        <w:suppressAutoHyphens w:val="true"/>
        <w:ind w:firstLine="284"/>
        <w:jc w:val="both"/>
        <w:rPr>
          <w:rFonts w:eastAsia="BatangChe"/>
          <w:spacing w:val="-5"/>
          <w:sz w:val="22"/>
          <w:szCs w:val="22"/>
        </w:rPr>
      </w:pPr>
      <w:r>
        <w:rPr>
          <w:rFonts w:eastAsia="BatangChe"/>
          <w:color w:val="000000"/>
          <w:spacing w:val="-5"/>
          <w:sz w:val="22"/>
          <w:szCs w:val="22"/>
        </w:rPr>
        <w:t>12.2. Реквизиты сторон:</w:t>
      </w:r>
    </w:p>
    <w:tbl>
      <w:tblPr>
        <w:tblW w:w="1031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691"/>
        <w:gridCol w:w="3942"/>
        <w:gridCol w:w="4681"/>
      </w:tblGrid>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Стороны</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Покупатель:</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Поставщик:</w:t>
            </w:r>
          </w:p>
        </w:tc>
      </w:tr>
      <w:tr>
        <w:trPr>
          <w:trHeight w:val="296"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Организация</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t>АО «Сахаэнерго»</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Юр.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678400, Булунский улус, п. Тикси, ул. Морская дом 5, корп. 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Поч.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677001, г. Якутск, пер. Энергетиков, 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тел.</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49-74-21, 21-01-15</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факс.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49-72-49</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lang w:val="en-US"/>
              </w:rPr>
              <w:t>e</w:t>
            </w:r>
            <w:r>
              <w:rPr>
                <w:rFonts w:eastAsia="BatangChe"/>
                <w:sz w:val="22"/>
                <w:szCs w:val="22"/>
              </w:rPr>
              <w:t>-</w:t>
            </w:r>
            <w:r>
              <w:rPr>
                <w:rFonts w:eastAsia="BatangChe"/>
                <w:sz w:val="22"/>
                <w:szCs w:val="22"/>
                <w:lang w:val="en-US"/>
              </w:rPr>
              <w:t>mail</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eastAsia="BatangChe"/>
                <w:spacing w:val="-5"/>
                <w:sz w:val="22"/>
                <w:szCs w:val="22"/>
                <w:lang w:eastAsia="en-US"/>
              </w:rPr>
            </w:pPr>
            <w:hyperlink r:id="rId2">
              <w:r>
                <w:rPr>
                  <w:rStyle w:val="Hyperlink"/>
                  <w:rFonts w:eastAsia="BatangChe"/>
                  <w:spacing w:val="-5"/>
                  <w:sz w:val="22"/>
                  <w:szCs w:val="22"/>
                  <w:lang w:val="en-US" w:eastAsia="en-US"/>
                </w:rPr>
                <w:t>mail</w:t>
              </w:r>
              <w:r>
                <w:rPr>
                  <w:rStyle w:val="Hyperlink"/>
                  <w:rFonts w:eastAsia="BatangChe"/>
                  <w:spacing w:val="-5"/>
                  <w:sz w:val="22"/>
                  <w:szCs w:val="22"/>
                  <w:lang w:eastAsia="en-US"/>
                </w:rPr>
                <w:t>@</w:t>
              </w:r>
              <w:r>
                <w:rPr>
                  <w:rStyle w:val="Hyperlink"/>
                  <w:rFonts w:eastAsia="BatangChe"/>
                  <w:spacing w:val="-5"/>
                  <w:sz w:val="22"/>
                  <w:szCs w:val="22"/>
                  <w:lang w:val="en-US" w:eastAsia="en-US"/>
                </w:rPr>
                <w:t>sakhaenergo</w:t>
              </w:r>
              <w:r>
                <w:rPr>
                  <w:rStyle w:val="Hyperlink"/>
                  <w:rFonts w:eastAsia="BatangChe"/>
                  <w:spacing w:val="-5"/>
                  <w:sz w:val="22"/>
                  <w:szCs w:val="22"/>
                  <w:lang w:eastAsia="en-US"/>
                </w:rPr>
                <w:t>.</w:t>
              </w:r>
              <w:r>
                <w:rPr>
                  <w:rStyle w:val="Hyperlink"/>
                  <w:rFonts w:eastAsia="BatangChe"/>
                  <w:spacing w:val="-5"/>
                  <w:sz w:val="22"/>
                  <w:szCs w:val="22"/>
                  <w:lang w:val="en-US" w:eastAsia="en-US"/>
                </w:rPr>
                <w:t>ru</w:t>
              </w:r>
            </w:hyperlink>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ИНН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1435117944</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КПП</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140601001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ОГРН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1021401044830</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ОКПО</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55658092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031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bCs/>
                <w:spacing w:val="-5"/>
                <w:sz w:val="22"/>
                <w:szCs w:val="22"/>
              </w:rPr>
              <w:t>Банковские реквизиты:</w:t>
            </w:r>
          </w:p>
        </w:tc>
      </w:tr>
      <w:tr>
        <w:trPr>
          <w:trHeight w:val="301"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расч.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407 028 106 140 200 001 13</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rHeight w:val="525"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Наименование банка</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Филиал ПАО Банк ВТБ в г. Хабаровске</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корр.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301 018 104 000 000 007 27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БИК</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040813727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Должности, подписи и печати Сторон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bCs w:val="false"/>
                <w:spacing w:val="-5"/>
                <w:sz w:val="22"/>
                <w:szCs w:val="22"/>
                <w:lang w:eastAsia="en-US"/>
              </w:rPr>
              <w:t>М.п.</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tc>
      </w:tr>
    </w:tbl>
    <w:p>
      <w:pPr>
        <w:sectPr>
          <w:footerReference w:type="default" r:id="rId3"/>
          <w:footerReference w:type="first" r:id="rId4"/>
          <w:type w:val="nextPage"/>
          <w:pgSz w:w="12240" w:h="15840"/>
          <w:pgMar w:left="1134" w:right="1134" w:gutter="0" w:header="0" w:top="993" w:footer="379" w:bottom="1134"/>
          <w:pgNumType w:fmt="decimal"/>
          <w:formProt w:val="false"/>
          <w:titlePg/>
          <w:textDirection w:val="lrTb"/>
          <w:docGrid w:type="default" w:linePitch="272" w:charSpace="8192"/>
        </w:sectPr>
        <w:pStyle w:val="Normal"/>
        <w:tabs>
          <w:tab w:val="clear" w:pos="720"/>
          <w:tab w:val="left" w:pos="1247" w:leader="none"/>
        </w:tabs>
        <w:suppressAutoHyphens w:val="true"/>
        <w:rPr>
          <w:rFonts w:eastAsia="BatangChe"/>
          <w:spacing w:val="-5"/>
          <w:sz w:val="22"/>
          <w:szCs w:val="22"/>
        </w:rPr>
      </w:pPr>
      <w:r>
        <w:rPr>
          <w:rFonts w:eastAsia="BatangChe"/>
          <w:spacing w:val="-5"/>
          <w:sz w:val="22"/>
          <w:szCs w:val="22"/>
        </w:rPr>
      </w:r>
    </w:p>
    <w:p>
      <w:pPr>
        <w:pStyle w:val="Header"/>
        <w:jc w:val="right"/>
        <w:rPr>
          <w:i/>
          <w:i/>
          <w:color w:val="002060"/>
        </w:rPr>
      </w:pPr>
      <w:r>
        <w:rPr>
          <w:i/>
          <w:color w:val="002060"/>
        </w:rPr>
        <w:t>Приложение №1 к Договору поставки</w:t>
        <w:br/>
        <w:t>№______________ от «___»_______2025г.</w:t>
      </w:r>
    </w:p>
    <w:p>
      <w:pPr>
        <w:pStyle w:val="Header"/>
        <w:jc w:val="right"/>
        <w:rPr/>
      </w:pPr>
      <w:r>
        <w:rPr>
          <w:i/>
          <w:color w:val="002060"/>
        </w:rPr>
        <w:t>между АО «Сахаэнерго» и _________________</w:t>
      </w:r>
    </w:p>
    <w:p>
      <w:pPr>
        <w:pStyle w:val="Normal"/>
        <w:jc w:val="center"/>
        <w:rPr>
          <w:rFonts w:eastAsia="BatangChe"/>
          <w:sz w:val="22"/>
          <w:szCs w:val="22"/>
        </w:rPr>
      </w:pPr>
      <w:r>
        <w:rPr>
          <w:rFonts w:eastAsia="BatangChe"/>
          <w:sz w:val="22"/>
          <w:szCs w:val="22"/>
        </w:rPr>
      </w:r>
    </w:p>
    <w:p>
      <w:pPr>
        <w:pStyle w:val="Normal"/>
        <w:jc w:val="center"/>
        <w:rPr>
          <w:rFonts w:eastAsia="BatangChe"/>
          <w:sz w:val="22"/>
          <w:szCs w:val="22"/>
        </w:rPr>
      </w:pPr>
      <w:r>
        <w:rPr>
          <w:rFonts w:eastAsia="BatangChe"/>
          <w:sz w:val="22"/>
          <w:szCs w:val="22"/>
        </w:rPr>
      </w:r>
    </w:p>
    <w:p>
      <w:pPr>
        <w:pStyle w:val="Normal"/>
        <w:jc w:val="center"/>
        <w:rPr>
          <w:rFonts w:eastAsia="BatangChe"/>
          <w:sz w:val="22"/>
          <w:szCs w:val="22"/>
        </w:rPr>
      </w:pPr>
      <w:r>
        <w:rPr>
          <w:rFonts w:eastAsia="BatangChe"/>
          <w:sz w:val="22"/>
          <w:szCs w:val="22"/>
        </w:rPr>
        <w:t>Спецификация № 1</w:t>
      </w:r>
    </w:p>
    <w:p>
      <w:pPr>
        <w:pStyle w:val="Normal"/>
        <w:jc w:val="center"/>
        <w:rPr>
          <w:rFonts w:eastAsia="BatangChe"/>
          <w:sz w:val="22"/>
          <w:szCs w:val="22"/>
        </w:rPr>
      </w:pPr>
      <w:r>
        <w:rPr>
          <w:rFonts w:eastAsia="BatangChe"/>
          <w:sz w:val="22"/>
          <w:szCs w:val="22"/>
        </w:rPr>
      </w:r>
    </w:p>
    <w:tbl>
      <w:tblPr>
        <w:tblW w:w="10773" w:type="dxa"/>
        <w:jc w:val="left"/>
        <w:tblInd w:w="109" w:type="dxa"/>
        <w:tblLayout w:type="fixed"/>
        <w:tblCellMar>
          <w:top w:w="0" w:type="dxa"/>
          <w:left w:w="108" w:type="dxa"/>
          <w:bottom w:w="0" w:type="dxa"/>
          <w:right w:w="108" w:type="dxa"/>
        </w:tblCellMar>
        <w:tblLook w:noVBand="1" w:val="04a0" w:noHBand="0" w:lastColumn="0" w:firstColumn="1" w:lastRow="0" w:firstRow="1"/>
      </w:tblPr>
      <w:tblGrid>
        <w:gridCol w:w="400"/>
        <w:gridCol w:w="1322"/>
        <w:gridCol w:w="1016"/>
        <w:gridCol w:w="813"/>
        <w:gridCol w:w="2248"/>
        <w:gridCol w:w="201"/>
        <w:gridCol w:w="1082"/>
        <w:gridCol w:w="1090"/>
        <w:gridCol w:w="1257"/>
        <w:gridCol w:w="1343"/>
      </w:tblGrid>
      <w:tr>
        <w:trPr>
          <w:trHeight w:val="920" w:hRule="atLeast"/>
          <w:cantSplit w:val="true"/>
        </w:trPr>
        <w:tc>
          <w:tcPr>
            <w:tcW w:w="40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rFonts w:eastAsia="BatangChe"/>
                <w:color w:val="000000"/>
                <w:sz w:val="22"/>
                <w:szCs w:val="22"/>
              </w:rPr>
            </w:pPr>
            <w:bookmarkStart w:id="1" w:name="_MON_1589357084"/>
            <w:bookmarkEnd w:id="1"/>
            <w:r>
              <w:rPr>
                <w:rFonts w:eastAsia="BatangChe"/>
                <w:color w:val="000000"/>
                <w:sz w:val="22"/>
                <w:szCs w:val="22"/>
              </w:rPr>
              <w:t xml:space="preserve">№ </w:t>
            </w:r>
            <w:r>
              <w:rPr>
                <w:rFonts w:eastAsia="BatangChe"/>
                <w:color w:val="000000"/>
                <w:sz w:val="22"/>
                <w:szCs w:val="22"/>
              </w:rPr>
              <w:t>п/п</w:t>
            </w:r>
          </w:p>
        </w:tc>
        <w:tc>
          <w:tcPr>
            <w:tcW w:w="3151" w:type="dxa"/>
            <w:gridSpan w:val="3"/>
            <w:tcBorders>
              <w:top w:val="single" w:sz="8" w:space="0" w:color="000000"/>
              <w:left w:val="single" w:sz="8" w:space="0" w:color="000000"/>
              <w:bottom w:val="single" w:sz="8"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t>Наименование товара</w:t>
            </w:r>
          </w:p>
        </w:tc>
        <w:tc>
          <w:tcPr>
            <w:tcW w:w="2449" w:type="dxa"/>
            <w:gridSpan w:val="2"/>
            <w:tcBorders>
              <w:top w:val="single" w:sz="8" w:space="0" w:color="000000"/>
              <w:left w:val="single" w:sz="8" w:space="0" w:color="000000"/>
              <w:bottom w:val="single" w:sz="8"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t>Страна происхождения</w:t>
            </w:r>
          </w:p>
        </w:tc>
        <w:tc>
          <w:tcPr>
            <w:tcW w:w="1082" w:type="dxa"/>
            <w:tcBorders>
              <w:top w:val="single" w:sz="8" w:space="0" w:color="000000"/>
              <w:left w:val="single" w:sz="4" w:space="0" w:color="000000"/>
              <w:bottom w:val="single" w:sz="8" w:space="0" w:color="000000"/>
              <w:right w:val="single" w:sz="8"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t>Ед. изм.</w:t>
            </w:r>
          </w:p>
        </w:tc>
        <w:tc>
          <w:tcPr>
            <w:tcW w:w="109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t>Кол-во</w:t>
            </w:r>
          </w:p>
        </w:tc>
        <w:tc>
          <w:tcPr>
            <w:tcW w:w="1257" w:type="dxa"/>
            <w:tcBorders>
              <w:top w:val="single" w:sz="8" w:space="0" w:color="000000"/>
              <w:left w:val="single" w:sz="8" w:space="0" w:color="000000"/>
              <w:bottom w:val="single" w:sz="4" w:space="0" w:color="000000"/>
              <w:right w:val="single" w:sz="8" w:space="0" w:color="000000"/>
            </w:tcBorders>
          </w:tcPr>
          <w:p>
            <w:pPr>
              <w:pStyle w:val="Normal"/>
              <w:widowControl w:val="false"/>
              <w:jc w:val="center"/>
              <w:rPr>
                <w:rFonts w:eastAsia="BatangChe"/>
                <w:color w:val="000000"/>
                <w:sz w:val="22"/>
                <w:szCs w:val="22"/>
              </w:rPr>
            </w:pPr>
            <w:r>
              <w:rPr>
                <w:rFonts w:eastAsia="BatangChe"/>
                <w:color w:val="000000"/>
                <w:sz w:val="22"/>
                <w:szCs w:val="22"/>
              </w:rPr>
            </w:r>
          </w:p>
          <w:p>
            <w:pPr>
              <w:pStyle w:val="Normal"/>
              <w:widowControl w:val="false"/>
              <w:jc w:val="center"/>
              <w:rPr>
                <w:rFonts w:eastAsia="BatangChe"/>
                <w:color w:val="000000"/>
                <w:sz w:val="22"/>
                <w:szCs w:val="22"/>
              </w:rPr>
            </w:pPr>
            <w:r>
              <w:rPr>
                <w:rFonts w:eastAsia="BatangChe"/>
                <w:color w:val="000000"/>
                <w:sz w:val="22"/>
                <w:szCs w:val="22"/>
              </w:rPr>
              <w:t>Стоимость в рублях с НДС за ед. изм.</w:t>
            </w:r>
          </w:p>
        </w:tc>
        <w:tc>
          <w:tcPr>
            <w:tcW w:w="1343" w:type="dxa"/>
            <w:tcBorders>
              <w:top w:val="single" w:sz="8" w:space="0" w:color="000000"/>
              <w:left w:val="single" w:sz="8" w:space="0" w:color="000000"/>
              <w:bottom w:val="single" w:sz="4" w:space="0" w:color="000000"/>
              <w:right w:val="single" w:sz="8"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t>Стоимость в рублях, с НДС-20%</w:t>
            </w:r>
          </w:p>
        </w:tc>
      </w:tr>
      <w:tr>
        <w:trPr>
          <w:trHeight w:val="300" w:hRule="atLeast"/>
        </w:trPr>
        <w:tc>
          <w:tcPr>
            <w:tcW w:w="400" w:type="dxa"/>
            <w:tcBorders>
              <w:top w:val="single" w:sz="8" w:space="0" w:color="000000"/>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top w:val="single" w:sz="4" w:space="0" w:color="000000"/>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top w:val="single" w:sz="8" w:space="0" w:color="000000"/>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300" w:hRule="atLeast"/>
        </w:trPr>
        <w:tc>
          <w:tcPr>
            <w:tcW w:w="400" w:type="dxa"/>
            <w:tcBorders>
              <w:left w:val="single" w:sz="8" w:space="0" w:color="000000"/>
              <w:bottom w:val="single" w:sz="4" w:space="0" w:color="000000"/>
              <w:right w:val="single" w:sz="4" w:space="0" w:color="000000"/>
            </w:tcBorders>
            <w:vAlign w:val="center"/>
          </w:tcPr>
          <w:p>
            <w:pPr>
              <w:pStyle w:val="ListParagraph"/>
              <w:widowControl w:val="false"/>
              <w:numPr>
                <w:ilvl w:val="0"/>
                <w:numId w:val="4"/>
              </w:numPr>
              <w:jc w:val="center"/>
              <w:rPr>
                <w:rFonts w:eastAsia="BatangChe"/>
                <w:color w:val="000000"/>
                <w:sz w:val="22"/>
                <w:szCs w:val="22"/>
              </w:rPr>
            </w:pPr>
            <w:r>
              <w:rPr>
                <w:rFonts w:eastAsia="BatangChe"/>
                <w:color w:val="000000"/>
                <w:sz w:val="22"/>
                <w:szCs w:val="22"/>
              </w:rPr>
            </w:r>
          </w:p>
        </w:tc>
        <w:tc>
          <w:tcPr>
            <w:tcW w:w="3151" w:type="dxa"/>
            <w:gridSpan w:val="3"/>
            <w:tcBorders>
              <w:left w:val="single" w:sz="4" w:space="0" w:color="000000"/>
              <w:bottom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449" w:type="dxa"/>
            <w:gridSpan w:val="2"/>
            <w:tcBorders>
              <w:left w:val="single" w:sz="4" w:space="0" w:color="000000"/>
              <w:bottom w:val="single" w:sz="4" w:space="0" w:color="000000"/>
              <w:right w:val="single" w:sz="4"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82"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090" w:type="dxa"/>
            <w:tcBorders>
              <w:left w:val="single" w:sz="4" w:space="0" w:color="000000"/>
              <w:bottom w:val="single" w:sz="4" w:space="0" w:color="000000"/>
              <w:right w:val="single" w:sz="4" w:space="0" w:color="000000"/>
            </w:tcBorders>
          </w:tcPr>
          <w:p>
            <w:pPr>
              <w:pStyle w:val="Normal"/>
              <w:widowControl w:val="false"/>
              <w:jc w:val="center"/>
              <w:rPr>
                <w:rFonts w:eastAsia="BatangChe"/>
                <w:color w:val="000000"/>
                <w:sz w:val="22"/>
                <w:szCs w:val="22"/>
              </w:rPr>
            </w:pPr>
            <w:r>
              <w:rPr>
                <w:rFonts w:eastAsia="BatangChe"/>
                <w:color w:val="000000"/>
                <w:sz w:val="22"/>
                <w:szCs w:val="22"/>
              </w:rPr>
            </w:r>
          </w:p>
        </w:tc>
        <w:tc>
          <w:tcPr>
            <w:tcW w:w="1257"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c>
          <w:tcPr>
            <w:tcW w:w="1343" w:type="dxa"/>
            <w:tcBorders>
              <w:left w:val="single" w:sz="4" w:space="0" w:color="000000"/>
              <w:bottom w:val="single" w:sz="4" w:space="0" w:color="000000"/>
              <w:right w:val="single" w:sz="4" w:space="0" w:color="000000"/>
            </w:tcBorders>
            <w:vAlign w:val="center"/>
          </w:tcPr>
          <w:p>
            <w:pPr>
              <w:pStyle w:val="Normal"/>
              <w:widowControl w:val="false"/>
              <w:jc w:val="center"/>
              <w:rPr>
                <w:rFonts w:eastAsia="BatangChe"/>
                <w:color w:val="000000"/>
                <w:sz w:val="22"/>
                <w:szCs w:val="22"/>
              </w:rPr>
            </w:pPr>
            <w:r>
              <w:rPr>
                <w:rFonts w:eastAsia="BatangChe"/>
                <w:color w:val="000000"/>
                <w:sz w:val="22"/>
                <w:szCs w:val="22"/>
              </w:rPr>
            </w:r>
          </w:p>
        </w:tc>
      </w:tr>
      <w:tr>
        <w:trPr>
          <w:trHeight w:val="296" w:hRule="atLeast"/>
        </w:trPr>
        <w:tc>
          <w:tcPr>
            <w:tcW w:w="400" w:type="dxa"/>
            <w:tcBorders>
              <w:left w:val="single" w:sz="8" w:space="0" w:color="000000"/>
              <w:right w:val="single" w:sz="8" w:space="0" w:color="000000"/>
            </w:tcBorders>
            <w:vAlign w:val="center"/>
          </w:tcPr>
          <w:p>
            <w:pPr>
              <w:pStyle w:val="Normal"/>
              <w:widowControl w:val="false"/>
              <w:rPr>
                <w:sz w:val="22"/>
                <w:szCs w:val="22"/>
              </w:rPr>
            </w:pPr>
            <w:r>
              <w:rPr>
                <w:sz w:val="22"/>
                <w:szCs w:val="22"/>
              </w:rPr>
            </w:r>
          </w:p>
        </w:tc>
        <w:tc>
          <w:tcPr>
            <w:tcW w:w="1322" w:type="dxa"/>
            <w:tcBorders/>
          </w:tcPr>
          <w:p>
            <w:pPr>
              <w:pStyle w:val="Normal"/>
              <w:widowControl w:val="false"/>
              <w:rPr>
                <w:rFonts w:eastAsia="BatangChe"/>
                <w:color w:val="000000"/>
                <w:sz w:val="22"/>
                <w:szCs w:val="22"/>
              </w:rPr>
            </w:pPr>
            <w:r>
              <w:rPr>
                <w:rFonts w:eastAsia="BatangChe"/>
                <w:color w:val="000000"/>
                <w:sz w:val="22"/>
                <w:szCs w:val="22"/>
              </w:rPr>
            </w:r>
          </w:p>
        </w:tc>
        <w:tc>
          <w:tcPr>
            <w:tcW w:w="1016" w:type="dxa"/>
            <w:tcBorders/>
          </w:tcPr>
          <w:p>
            <w:pPr>
              <w:pStyle w:val="Normal"/>
              <w:widowControl w:val="false"/>
              <w:rPr>
                <w:rFonts w:eastAsia="BatangChe"/>
                <w:color w:val="000000"/>
                <w:sz w:val="22"/>
                <w:szCs w:val="22"/>
              </w:rPr>
            </w:pPr>
            <w:r>
              <w:rPr>
                <w:rFonts w:eastAsia="BatangChe"/>
                <w:color w:val="000000"/>
                <w:sz w:val="22"/>
                <w:szCs w:val="22"/>
              </w:rPr>
            </w:r>
          </w:p>
        </w:tc>
        <w:tc>
          <w:tcPr>
            <w:tcW w:w="3061" w:type="dxa"/>
            <w:gridSpan w:val="2"/>
            <w:tcBorders/>
          </w:tcPr>
          <w:p>
            <w:pPr>
              <w:pStyle w:val="Normal"/>
              <w:widowControl w:val="false"/>
              <w:rPr>
                <w:rFonts w:eastAsia="BatangChe"/>
                <w:color w:val="000000"/>
                <w:sz w:val="22"/>
                <w:szCs w:val="22"/>
              </w:rPr>
            </w:pPr>
            <w:r>
              <w:rPr>
                <w:rFonts w:eastAsia="BatangChe"/>
                <w:color w:val="000000"/>
                <w:sz w:val="22"/>
                <w:szCs w:val="22"/>
              </w:rPr>
            </w:r>
          </w:p>
        </w:tc>
        <w:tc>
          <w:tcPr>
            <w:tcW w:w="2373" w:type="dxa"/>
            <w:gridSpan w:val="3"/>
            <w:tcBorders>
              <w:right w:val="single" w:sz="8" w:space="0" w:color="000000"/>
            </w:tcBorders>
            <w:vAlign w:val="center"/>
          </w:tcPr>
          <w:p>
            <w:pPr>
              <w:pStyle w:val="Normal"/>
              <w:widowControl w:val="false"/>
              <w:rPr>
                <w:rFonts w:eastAsia="BatangChe"/>
                <w:color w:val="000000"/>
                <w:sz w:val="22"/>
                <w:szCs w:val="22"/>
              </w:rPr>
            </w:pPr>
            <w:r>
              <w:rPr>
                <w:rFonts w:eastAsia="BatangChe"/>
                <w:color w:val="000000"/>
                <w:sz w:val="22"/>
                <w:szCs w:val="22"/>
              </w:rPr>
            </w:r>
          </w:p>
        </w:tc>
        <w:tc>
          <w:tcPr>
            <w:tcW w:w="1257" w:type="dxa"/>
            <w:tcBorders>
              <w:top w:val="single" w:sz="4" w:space="0" w:color="000000"/>
              <w:bottom w:val="single" w:sz="4" w:space="0" w:color="000000"/>
              <w:right w:val="single" w:sz="4" w:space="0" w:color="000000"/>
            </w:tcBorders>
            <w:vAlign w:val="center"/>
          </w:tcPr>
          <w:p>
            <w:pPr>
              <w:pStyle w:val="Normal"/>
              <w:widowControl w:val="false"/>
              <w:jc w:val="right"/>
              <w:rPr>
                <w:rFonts w:eastAsia="BatangChe"/>
                <w:b/>
                <w:bCs/>
                <w:sz w:val="22"/>
                <w:szCs w:val="22"/>
              </w:rPr>
            </w:pPr>
            <w:r>
              <w:rPr>
                <w:sz w:val="22"/>
                <w:szCs w:val="22"/>
              </w:rPr>
              <w:t>Итого:</w:t>
            </w:r>
          </w:p>
        </w:tc>
        <w:tc>
          <w:tcPr>
            <w:tcW w:w="1343" w:type="dxa"/>
            <w:tcBorders>
              <w:top w:val="single" w:sz="4" w:space="0" w:color="000000"/>
              <w:left w:val="single" w:sz="4" w:space="0" w:color="000000"/>
              <w:bottom w:val="single" w:sz="4" w:space="0" w:color="000000"/>
              <w:right w:val="single" w:sz="8" w:space="0" w:color="000000"/>
            </w:tcBorders>
            <w:vAlign w:val="bottom"/>
          </w:tcPr>
          <w:p>
            <w:pPr>
              <w:pStyle w:val="Normal"/>
              <w:widowControl w:val="false"/>
              <w:jc w:val="center"/>
              <w:rPr>
                <w:b/>
                <w:sz w:val="22"/>
                <w:szCs w:val="22"/>
              </w:rPr>
            </w:pPr>
            <w:r>
              <w:rPr>
                <w:b/>
                <w:sz w:val="22"/>
                <w:szCs w:val="22"/>
              </w:rPr>
            </w:r>
          </w:p>
        </w:tc>
      </w:tr>
      <w:tr>
        <w:trPr>
          <w:trHeight w:val="296" w:hRule="atLeast"/>
        </w:trPr>
        <w:tc>
          <w:tcPr>
            <w:tcW w:w="400" w:type="dxa"/>
            <w:tcBorders>
              <w:left w:val="single" w:sz="8" w:space="0" w:color="000000"/>
              <w:bottom w:val="single" w:sz="8" w:space="0" w:color="000000"/>
              <w:right w:val="single" w:sz="8" w:space="0" w:color="000000"/>
            </w:tcBorders>
            <w:vAlign w:val="center"/>
          </w:tcPr>
          <w:p>
            <w:pPr>
              <w:pStyle w:val="Normal"/>
              <w:widowControl w:val="false"/>
              <w:rPr>
                <w:sz w:val="22"/>
                <w:szCs w:val="22"/>
              </w:rPr>
            </w:pPr>
            <w:r>
              <w:rPr>
                <w:sz w:val="22"/>
                <w:szCs w:val="22"/>
              </w:rPr>
            </w:r>
          </w:p>
        </w:tc>
        <w:tc>
          <w:tcPr>
            <w:tcW w:w="1322" w:type="dxa"/>
            <w:tcBorders>
              <w:bottom w:val="single" w:sz="8"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1016" w:type="dxa"/>
            <w:tcBorders>
              <w:bottom w:val="single" w:sz="8"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3061" w:type="dxa"/>
            <w:gridSpan w:val="2"/>
            <w:tcBorders>
              <w:bottom w:val="single" w:sz="8" w:space="0" w:color="000000"/>
            </w:tcBorders>
          </w:tcPr>
          <w:p>
            <w:pPr>
              <w:pStyle w:val="Normal"/>
              <w:widowControl w:val="false"/>
              <w:rPr>
                <w:rFonts w:eastAsia="BatangChe"/>
                <w:color w:val="000000"/>
                <w:sz w:val="22"/>
                <w:szCs w:val="22"/>
              </w:rPr>
            </w:pPr>
            <w:r>
              <w:rPr>
                <w:rFonts w:eastAsia="BatangChe"/>
                <w:color w:val="000000"/>
                <w:sz w:val="22"/>
                <w:szCs w:val="22"/>
              </w:rPr>
            </w:r>
          </w:p>
        </w:tc>
        <w:tc>
          <w:tcPr>
            <w:tcW w:w="2373" w:type="dxa"/>
            <w:gridSpan w:val="3"/>
            <w:tcBorders>
              <w:bottom w:val="single" w:sz="8" w:space="0" w:color="000000"/>
              <w:right w:val="single" w:sz="8" w:space="0" w:color="000000"/>
            </w:tcBorders>
            <w:vAlign w:val="center"/>
          </w:tcPr>
          <w:p>
            <w:pPr>
              <w:pStyle w:val="Normal"/>
              <w:widowControl w:val="false"/>
              <w:rPr>
                <w:rFonts w:eastAsia="BatangChe"/>
                <w:color w:val="000000"/>
                <w:sz w:val="22"/>
                <w:szCs w:val="22"/>
              </w:rPr>
            </w:pPr>
            <w:r>
              <w:rPr>
                <w:rFonts w:eastAsia="BatangChe"/>
                <w:color w:val="000000"/>
                <w:sz w:val="22"/>
                <w:szCs w:val="22"/>
              </w:rPr>
            </w:r>
          </w:p>
        </w:tc>
        <w:tc>
          <w:tcPr>
            <w:tcW w:w="1257" w:type="dxa"/>
            <w:tcBorders>
              <w:top w:val="single" w:sz="4" w:space="0" w:color="000000"/>
              <w:bottom w:val="single" w:sz="4" w:space="0" w:color="000000"/>
              <w:right w:val="single" w:sz="4" w:space="0" w:color="000000"/>
            </w:tcBorders>
            <w:vAlign w:val="center"/>
          </w:tcPr>
          <w:p>
            <w:pPr>
              <w:pStyle w:val="Normal"/>
              <w:widowControl w:val="false"/>
              <w:jc w:val="right"/>
              <w:rPr>
                <w:rFonts w:eastAsia="BatangChe"/>
                <w:b/>
                <w:bCs/>
                <w:sz w:val="22"/>
                <w:szCs w:val="22"/>
              </w:rPr>
            </w:pPr>
            <w:r>
              <w:rPr>
                <w:sz w:val="22"/>
                <w:szCs w:val="22"/>
              </w:rPr>
              <w:t>В т.ч. НДС:</w:t>
            </w:r>
          </w:p>
        </w:tc>
        <w:tc>
          <w:tcPr>
            <w:tcW w:w="1343" w:type="dxa"/>
            <w:tcBorders>
              <w:top w:val="single" w:sz="4" w:space="0" w:color="000000"/>
              <w:left w:val="single" w:sz="4" w:space="0" w:color="000000"/>
              <w:bottom w:val="single" w:sz="4" w:space="0" w:color="000000"/>
              <w:right w:val="single" w:sz="8" w:space="0" w:color="000000"/>
            </w:tcBorders>
            <w:vAlign w:val="bottom"/>
          </w:tcPr>
          <w:p>
            <w:pPr>
              <w:pStyle w:val="Normal"/>
              <w:widowControl w:val="false"/>
              <w:jc w:val="center"/>
              <w:rPr>
                <w:b/>
                <w:sz w:val="22"/>
                <w:szCs w:val="22"/>
              </w:rPr>
            </w:pPr>
            <w:r>
              <w:rPr>
                <w:b/>
                <w:sz w:val="22"/>
                <w:szCs w:val="22"/>
              </w:rPr>
            </w:r>
          </w:p>
        </w:tc>
      </w:tr>
    </w:tbl>
    <w:p>
      <w:pPr>
        <w:pStyle w:val="Normal"/>
        <w:suppressAutoHyphens w:val="true"/>
        <w:ind w:firstLine="284"/>
        <w:jc w:val="both"/>
        <w:rPr>
          <w:rFonts w:eastAsia="BatangChe"/>
          <w:bCs/>
          <w:sz w:val="22"/>
          <w:szCs w:val="22"/>
        </w:rPr>
      </w:pPr>
      <w:r>
        <w:rPr>
          <w:rFonts w:eastAsia="BatangChe"/>
          <w:bCs/>
          <w:sz w:val="22"/>
          <w:szCs w:val="22"/>
        </w:rPr>
      </w:r>
    </w:p>
    <w:p>
      <w:pPr>
        <w:pStyle w:val="Normal"/>
        <w:suppressAutoHyphens w:val="true"/>
        <w:ind w:firstLine="284"/>
        <w:jc w:val="both"/>
        <w:rPr>
          <w:rFonts w:eastAsia="BatangChe"/>
          <w:b/>
          <w:bCs/>
          <w:sz w:val="22"/>
          <w:szCs w:val="22"/>
        </w:rPr>
      </w:pPr>
      <w:r>
        <w:rPr>
          <w:rFonts w:eastAsia="BatangChe"/>
          <w:b/>
          <w:bCs/>
          <w:sz w:val="22"/>
          <w:szCs w:val="22"/>
        </w:rPr>
      </w:r>
    </w:p>
    <w:p>
      <w:pPr>
        <w:pStyle w:val="Normal"/>
        <w:suppressAutoHyphens w:val="true"/>
        <w:ind w:firstLine="284"/>
        <w:jc w:val="both"/>
        <w:rPr>
          <w:rFonts w:eastAsia="BatangChe"/>
          <w:b/>
          <w:bCs/>
          <w:sz w:val="22"/>
          <w:szCs w:val="22"/>
        </w:rPr>
      </w:pPr>
      <w:r>
        <w:rPr>
          <w:rFonts w:eastAsia="BatangChe"/>
          <w:b/>
          <w:bCs/>
          <w:sz w:val="22"/>
          <w:szCs w:val="22"/>
        </w:rPr>
      </w:r>
    </w:p>
    <w:p>
      <w:pPr>
        <w:pStyle w:val="Normal"/>
        <w:suppressAutoHyphens w:val="true"/>
        <w:ind w:firstLine="284"/>
        <w:jc w:val="both"/>
        <w:rPr>
          <w:rFonts w:eastAsia="BatangChe"/>
          <w:b/>
          <w:bCs/>
          <w:sz w:val="22"/>
          <w:szCs w:val="22"/>
        </w:rPr>
      </w:pPr>
      <w:r>
        <w:rPr>
          <w:rFonts w:eastAsia="BatangChe"/>
          <w:bCs/>
          <w:sz w:val="22"/>
          <w:szCs w:val="22"/>
        </w:rPr>
        <w:t>Итого стоимость товара по Спецификации №1 составляет _________</w:t>
      </w:r>
      <w:r>
        <w:rPr>
          <w:rFonts w:eastAsia="BatangChe"/>
          <w:b/>
          <w:bCs/>
          <w:sz w:val="22"/>
          <w:szCs w:val="22"/>
        </w:rPr>
        <w:t xml:space="preserve"> </w:t>
      </w:r>
      <w:r>
        <w:rPr>
          <w:rFonts w:eastAsia="BatangChe"/>
          <w:b/>
          <w:bCs/>
          <w:color w:val="000000"/>
          <w:spacing w:val="-5"/>
          <w:sz w:val="22"/>
          <w:szCs w:val="22"/>
        </w:rPr>
        <w:t>(__________) руб. 0</w:t>
      </w:r>
      <w:r>
        <w:rPr>
          <w:rFonts w:eastAsia="BatangChe"/>
          <w:b/>
          <w:bCs/>
          <w:sz w:val="22"/>
          <w:szCs w:val="22"/>
        </w:rPr>
        <w:t>0</w:t>
      </w:r>
      <w:r>
        <w:rPr>
          <w:rFonts w:eastAsia="BatangChe"/>
          <w:b/>
          <w:bCs/>
          <w:color w:val="000000"/>
          <w:spacing w:val="-5"/>
          <w:sz w:val="22"/>
          <w:szCs w:val="22"/>
        </w:rPr>
        <w:t xml:space="preserve"> коп., в том числе НДС </w:t>
      </w:r>
      <w:r>
        <w:rPr>
          <w:rFonts w:eastAsia="BatangChe"/>
          <w:b/>
          <w:bCs/>
          <w:sz w:val="22"/>
          <w:szCs w:val="22"/>
        </w:rPr>
        <w:t>(20%) ________руб.</w:t>
      </w:r>
    </w:p>
    <w:p>
      <w:pPr>
        <w:pStyle w:val="Normal"/>
        <w:suppressAutoHyphens w:val="true"/>
        <w:ind w:firstLine="284"/>
        <w:jc w:val="both"/>
        <w:rPr>
          <w:rFonts w:eastAsia="BatangChe"/>
          <w:b/>
          <w:bCs/>
          <w:sz w:val="22"/>
          <w:szCs w:val="22"/>
        </w:rPr>
      </w:pPr>
      <w:r>
        <w:rPr>
          <w:rFonts w:eastAsia="BatangChe"/>
          <w:b/>
          <w:bCs/>
          <w:sz w:val="22"/>
          <w:szCs w:val="22"/>
        </w:rPr>
      </w:r>
    </w:p>
    <w:p>
      <w:pPr>
        <w:pStyle w:val="Normal"/>
        <w:suppressAutoHyphens w:val="true"/>
        <w:ind w:firstLine="284"/>
        <w:jc w:val="both"/>
        <w:rPr>
          <w:bCs/>
          <w:sz w:val="22"/>
          <w:szCs w:val="22"/>
        </w:rPr>
      </w:pPr>
      <w:r>
        <w:rPr>
          <w:bCs/>
          <w:sz w:val="22"/>
          <w:szCs w:val="22"/>
        </w:rPr>
      </w:r>
    </w:p>
    <w:p>
      <w:pPr>
        <w:pStyle w:val="Normal"/>
        <w:suppressAutoHyphens w:val="true"/>
        <w:ind w:firstLine="284"/>
        <w:jc w:val="both"/>
        <w:rPr>
          <w:bCs/>
          <w:sz w:val="22"/>
          <w:szCs w:val="22"/>
        </w:rPr>
      </w:pPr>
      <w:r>
        <w:rPr>
          <w:bCs/>
          <w:sz w:val="22"/>
          <w:szCs w:val="22"/>
        </w:rPr>
        <w:t>Адрес грузополучателя: 677004, РФ, РС (Я), г. Якутск, ул. Беринга, 42.</w:t>
      </w:r>
    </w:p>
    <w:p>
      <w:pPr>
        <w:pStyle w:val="Normal"/>
        <w:suppressAutoHyphens w:val="true"/>
        <w:ind w:firstLine="284"/>
        <w:jc w:val="both"/>
        <w:rPr>
          <w:rFonts w:eastAsia="BatangChe"/>
          <w:b/>
          <w:bCs/>
          <w:sz w:val="22"/>
          <w:szCs w:val="22"/>
        </w:rPr>
      </w:pPr>
      <w:r>
        <w:rPr>
          <w:rFonts w:eastAsia="BatangChe"/>
          <w:b/>
          <w:bCs/>
          <w:sz w:val="22"/>
          <w:szCs w:val="22"/>
        </w:rPr>
      </w:r>
    </w:p>
    <w:p>
      <w:pPr>
        <w:pStyle w:val="Normal"/>
        <w:suppressAutoHyphens w:val="true"/>
        <w:ind w:firstLine="284"/>
        <w:jc w:val="both"/>
        <w:rPr>
          <w:rFonts w:eastAsia="BatangChe"/>
          <w:b/>
          <w:bCs/>
          <w:sz w:val="22"/>
          <w:szCs w:val="22"/>
        </w:rPr>
      </w:pPr>
      <w:r>
        <w:rPr>
          <w:rFonts w:eastAsia="BatangChe"/>
          <w:b/>
          <w:bCs/>
          <w:sz w:val="22"/>
          <w:szCs w:val="22"/>
        </w:rPr>
      </w:r>
    </w:p>
    <w:p>
      <w:pPr>
        <w:pStyle w:val="Normal"/>
        <w:suppressAutoHyphens w:val="true"/>
        <w:ind w:firstLine="284"/>
        <w:jc w:val="both"/>
        <w:rPr>
          <w:rFonts w:eastAsia="BatangChe"/>
          <w:b/>
          <w:spacing w:val="-5"/>
          <w:sz w:val="22"/>
          <w:szCs w:val="22"/>
        </w:rPr>
      </w:pPr>
      <w:r>
        <w:rPr>
          <w:rFonts w:eastAsia="BatangChe"/>
          <w:b/>
          <w:spacing w:val="-5"/>
          <w:sz w:val="22"/>
          <w:szCs w:val="22"/>
        </w:rPr>
      </w:r>
    </w:p>
    <w:tbl>
      <w:tblPr>
        <w:tblW w:w="1077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662"/>
        <w:gridCol w:w="6114"/>
      </w:tblGrid>
      <w:tr>
        <w:trPr>
          <w:trHeight w:val="1765" w:hRule="atLeast"/>
        </w:trPr>
        <w:tc>
          <w:tcPr>
            <w:tcW w:w="4662"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6114" w:type="dxa"/>
            <w:tcBorders/>
            <w:shd w:color="auto" w:fill="auto" w:val="clear"/>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sectPr>
          <w:headerReference w:type="default" r:id="rId5"/>
          <w:footerReference w:type="default" r:id="rId6"/>
          <w:footerReference w:type="first" r:id="rId7"/>
          <w:type w:val="nextPage"/>
          <w:pgSz w:w="12240" w:h="15840"/>
          <w:pgMar w:left="1134" w:right="851" w:gutter="0" w:header="567" w:top="851" w:footer="380" w:bottom="1134"/>
          <w:pgNumType w:fmt="decimal"/>
          <w:formProt w:val="false"/>
          <w:textDirection w:val="lrTb"/>
          <w:docGrid w:type="default" w:linePitch="272" w:charSpace="8192"/>
        </w:sectPr>
      </w:pPr>
    </w:p>
    <w:p>
      <w:pPr>
        <w:pStyle w:val="Header"/>
        <w:jc w:val="right"/>
        <w:rPr>
          <w:i/>
          <w:i/>
          <w:color w:val="002060"/>
        </w:rPr>
      </w:pPr>
      <w:r>
        <w:rPr>
          <w:i/>
          <w:color w:val="002060"/>
        </w:rPr>
        <w:t>Приложение № 2 к Договору поставки</w:t>
        <w:br/>
        <w:t>№______________ от «___»_______2025г.</w:t>
      </w:r>
    </w:p>
    <w:p>
      <w:pPr>
        <w:pStyle w:val="Header"/>
        <w:jc w:val="right"/>
        <w:rPr>
          <w:i/>
          <w:i/>
          <w:color w:val="002060"/>
        </w:rPr>
      </w:pPr>
      <w:r>
        <w:rPr>
          <w:i/>
          <w:color w:val="002060"/>
        </w:rPr>
        <w:t>между АО «Сахаэнерго» и _________________»</w:t>
      </w:r>
    </w:p>
    <w:p>
      <w:pPr>
        <w:pStyle w:val="Header"/>
        <w:jc w:val="center"/>
        <w:rPr>
          <w:rFonts w:eastAsia="BatangChe"/>
          <w:b/>
          <w:sz w:val="22"/>
          <w:szCs w:val="22"/>
        </w:rPr>
      </w:pPr>
      <w:r>
        <w:rPr>
          <w:rFonts w:eastAsia="BatangChe"/>
          <w:b/>
          <w:sz w:val="22"/>
          <w:szCs w:val="22"/>
        </w:rPr>
      </w:r>
    </w:p>
    <w:p>
      <w:pPr>
        <w:pStyle w:val="Normal"/>
        <w:shd w:val="clear" w:color="auto" w:fill="FFFFFF"/>
        <w:tabs>
          <w:tab w:val="clear" w:pos="720"/>
          <w:tab w:val="left" w:pos="426" w:leader="none"/>
        </w:tabs>
        <w:spacing w:lineRule="auto" w:line="276"/>
        <w:jc w:val="center"/>
        <w:rPr>
          <w:b/>
          <w:sz w:val="22"/>
          <w:szCs w:val="22"/>
        </w:rPr>
      </w:pPr>
      <w:r>
        <w:rPr>
          <w:b/>
          <w:sz w:val="22"/>
          <w:szCs w:val="22"/>
        </w:rPr>
        <w:t>Антикоррупционная оговорка</w:t>
      </w:r>
    </w:p>
    <w:p>
      <w:pPr>
        <w:pStyle w:val="Normal"/>
        <w:numPr>
          <w:ilvl w:val="0"/>
          <w:numId w:val="0"/>
        </w:numPr>
        <w:shd w:val="clear" w:color="auto" w:fill="FFFFFF"/>
        <w:tabs>
          <w:tab w:val="clear" w:pos="720"/>
          <w:tab w:val="left" w:pos="851" w:leader="none"/>
        </w:tabs>
        <w:ind w:left="0" w:hanging="0"/>
        <w:jc w:val="both"/>
        <w:rPr>
          <w:sz w:val="22"/>
          <w:szCs w:val="22"/>
        </w:rPr>
      </w:pPr>
      <w:r>
        <w:rPr>
          <w:sz w:val="22"/>
          <w:szCs w:val="22"/>
        </w:rPr>
        <w:t>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0"/>
          <w:numId w:val="0"/>
        </w:numPr>
        <w:shd w:val="clear" w:color="auto" w:fill="FFFFFF"/>
        <w:tabs>
          <w:tab w:val="clear" w:pos="720"/>
          <w:tab w:val="left" w:pos="851" w:leader="none"/>
        </w:tabs>
        <w:ind w:left="0" w:hanging="0"/>
        <w:jc w:val="both"/>
        <w:rPr>
          <w:sz w:val="22"/>
          <w:szCs w:val="22"/>
        </w:rPr>
      </w:pPr>
      <w:r>
        <w:rPr>
          <w:sz w:val="22"/>
          <w:szCs w:val="22"/>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0"/>
          <w:numId w:val="0"/>
        </w:numPr>
        <w:shd w:val="clear" w:color="auto" w:fill="FFFFFF"/>
        <w:tabs>
          <w:tab w:val="clear" w:pos="720"/>
          <w:tab w:val="left" w:pos="851" w:leader="none"/>
        </w:tabs>
        <w:ind w:left="0" w:hanging="0"/>
        <w:jc w:val="both"/>
        <w:rPr>
          <w:sz w:val="22"/>
          <w:szCs w:val="22"/>
        </w:rPr>
      </w:pPr>
      <w:r>
        <w:rPr>
          <w:sz w:val="22"/>
          <w:szCs w:val="22"/>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0"/>
          <w:numId w:val="0"/>
        </w:numPr>
        <w:shd w:val="clear" w:color="auto" w:fill="FFFFFF"/>
        <w:tabs>
          <w:tab w:val="clear" w:pos="720"/>
          <w:tab w:val="left" w:pos="851" w:leader="none"/>
        </w:tabs>
        <w:ind w:left="0" w:hanging="0"/>
        <w:jc w:val="both"/>
        <w:rPr>
          <w:sz w:val="22"/>
          <w:szCs w:val="22"/>
        </w:rPr>
      </w:pPr>
      <w:r>
        <w:rPr>
          <w:sz w:val="22"/>
          <w:szCs w:val="22"/>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0"/>
          <w:numId w:val="0"/>
        </w:numPr>
        <w:shd w:val="clear" w:color="auto" w:fill="FFFFFF"/>
        <w:tabs>
          <w:tab w:val="clear" w:pos="720"/>
          <w:tab w:val="left" w:pos="851" w:leader="none"/>
        </w:tabs>
        <w:ind w:left="0" w:hanging="0"/>
        <w:jc w:val="both"/>
        <w:rPr>
          <w:sz w:val="22"/>
          <w:szCs w:val="22"/>
        </w:rPr>
      </w:pPr>
      <w:r>
        <w:rPr>
          <w:sz w:val="22"/>
          <w:szCs w:val="22"/>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0"/>
          <w:numId w:val="0"/>
        </w:numPr>
        <w:shd w:val="clear" w:color="auto" w:fill="FFFFFF"/>
        <w:tabs>
          <w:tab w:val="clear" w:pos="720"/>
          <w:tab w:val="left" w:pos="851" w:leader="none"/>
        </w:tabs>
        <w:ind w:left="0" w:hanging="0"/>
        <w:jc w:val="both"/>
        <w:rPr>
          <w:sz w:val="22"/>
          <w:szCs w:val="22"/>
        </w:rPr>
      </w:pPr>
      <w:r>
        <w:rPr>
          <w:sz w:val="22"/>
          <w:szCs w:val="22"/>
        </w:rPr>
        <w:t>6. В случае по</w:t>
      </w:r>
      <w:r>
        <w:rPr>
          <w:rFonts w:eastAsia="Times New Roman" w:cs="Times New Roman"/>
          <w:color w:val="auto"/>
          <w:kern w:val="0"/>
          <w:sz w:val="22"/>
          <w:szCs w:val="22"/>
          <w:lang w:val="ru-RU" w:eastAsia="ru-RU" w:bidi="ar-SA"/>
        </w:rPr>
        <w:t xml:space="preserve">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0"/>
          <w:numId w:val="0"/>
        </w:numPr>
        <w:shd w:val="clear" w:color="auto" w:fill="FFFFFF"/>
        <w:tabs>
          <w:tab w:val="clear" w:pos="720"/>
          <w:tab w:val="left" w:pos="567" w:leader="none"/>
          <w:tab w:val="left" w:pos="851" w:leader="none"/>
        </w:tabs>
        <w:ind w:left="0" w:hanging="0"/>
        <w:jc w:val="both"/>
        <w:rPr>
          <w:rFonts w:ascii="Times New Roman" w:hAnsi="Times New Roman" w:eastAsia="Times New Roman" w:cs="Times New Roman"/>
          <w:color w:val="auto"/>
          <w:kern w:val="0"/>
          <w:sz w:val="22"/>
          <w:szCs w:val="22"/>
          <w:lang w:val="ru-RU" w:eastAsia="ru-RU" w:bidi="ar-SA"/>
        </w:rPr>
      </w:pPr>
      <w:r>
        <w:rPr>
          <w:rFonts w:eastAsia="Times New Roman" w:cs="Times New Roman"/>
          <w:color w:val="auto"/>
          <w:kern w:val="0"/>
          <w:sz w:val="22"/>
          <w:szCs w:val="22"/>
          <w:lang w:val="ru-RU" w:eastAsia="ru-RU" w:bidi="ar-SA"/>
        </w:rPr>
        <w:t xml:space="preserve">7. Каналы связи Линия доверия Группы РусГидро: </w:t>
      </w:r>
    </w:p>
    <w:p>
      <w:pPr>
        <w:pStyle w:val="Normal"/>
        <w:widowControl w:val="false"/>
        <w:numPr>
          <w:ilvl w:val="0"/>
          <w:numId w:val="0"/>
        </w:numPr>
        <w:shd w:val="clear" w:color="auto" w:fill="FFFFFF"/>
        <w:tabs>
          <w:tab w:val="clear" w:pos="720"/>
          <w:tab w:val="left" w:pos="567" w:leader="none"/>
          <w:tab w:val="left" w:pos="851" w:leader="none"/>
        </w:tabs>
        <w:ind w:left="0" w:hanging="0"/>
        <w:jc w:val="both"/>
        <w:rPr>
          <w:rFonts w:ascii="Times New Roman" w:hAnsi="Times New Roman" w:eastAsia="Times New Roman" w:cs="Times New Roman"/>
          <w:color w:val="auto"/>
          <w:kern w:val="0"/>
          <w:sz w:val="22"/>
          <w:szCs w:val="22"/>
          <w:lang w:val="ru-RU" w:eastAsia="ru-RU" w:bidi="ar-SA"/>
        </w:rPr>
      </w:pPr>
      <w:r>
        <w:rPr>
          <w:rFonts w:eastAsia="Times New Roman" w:cs="Times New Roman"/>
          <w:color w:val="auto"/>
          <w:kern w:val="0"/>
          <w:sz w:val="22"/>
          <w:szCs w:val="22"/>
          <w:lang w:val="ru-RU" w:eastAsia="ru-RU" w:bidi="ar-SA"/>
        </w:rPr>
        <w:t>7.1. Электронная почта: ld@rushydro.ru.</w:t>
      </w:r>
    </w:p>
    <w:p>
      <w:pPr>
        <w:pStyle w:val="Normal"/>
        <w:widowControl w:val="false"/>
        <w:numPr>
          <w:ilvl w:val="0"/>
          <w:numId w:val="0"/>
        </w:numPr>
        <w:shd w:val="clear" w:color="auto" w:fill="FFFFFF"/>
        <w:tabs>
          <w:tab w:val="clear" w:pos="720"/>
          <w:tab w:val="left" w:pos="567" w:leader="none"/>
          <w:tab w:val="left" w:pos="851" w:leader="none"/>
        </w:tabs>
        <w:ind w:left="0" w:hanging="0"/>
        <w:jc w:val="both"/>
        <w:rPr>
          <w:rFonts w:ascii="Times New Roman" w:hAnsi="Times New Roman" w:eastAsia="Times New Roman" w:cs="Times New Roman"/>
          <w:color w:val="auto"/>
          <w:kern w:val="0"/>
          <w:sz w:val="22"/>
          <w:szCs w:val="22"/>
          <w:lang w:val="ru-RU" w:eastAsia="ru-RU" w:bidi="ar-SA"/>
        </w:rPr>
      </w:pPr>
      <w:r>
        <w:rPr>
          <w:rFonts w:eastAsia="Times New Roman" w:cs="Times New Roman"/>
          <w:color w:val="auto"/>
          <w:kern w:val="0"/>
          <w:sz w:val="22"/>
          <w:szCs w:val="22"/>
          <w:lang w:val="ru-RU" w:eastAsia="ru-RU" w:bidi="ar-SA"/>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0"/>
          <w:numId w:val="0"/>
        </w:numPr>
        <w:tabs>
          <w:tab w:val="clear" w:pos="720"/>
          <w:tab w:val="left" w:pos="851" w:leader="none"/>
        </w:tabs>
        <w:spacing w:lineRule="auto" w:line="259" w:before="0" w:after="160"/>
        <w:ind w:left="0" w:hanging="0"/>
        <w:jc w:val="both"/>
        <w:rPr>
          <w:rFonts w:ascii="Times New Roman" w:hAnsi="Times New Roman" w:eastAsia="Times New Roman" w:cs="Times New Roman"/>
          <w:color w:val="auto"/>
          <w:kern w:val="0"/>
          <w:sz w:val="22"/>
          <w:szCs w:val="22"/>
          <w:lang w:val="ru-RU" w:eastAsia="ru-RU" w:bidi="ar-SA"/>
        </w:rPr>
      </w:pPr>
      <w:r>
        <w:rPr>
          <w:rFonts w:eastAsia="Times New Roman" w:cs="Times New Roman"/>
          <w:color w:val="auto"/>
          <w:kern w:val="0"/>
          <w:sz w:val="22"/>
          <w:szCs w:val="22"/>
          <w:lang w:val="ru-RU" w:eastAsia="ru-RU" w:bidi="ar-SA"/>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W w:w="1077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662"/>
        <w:gridCol w:w="6114"/>
      </w:tblGrid>
      <w:tr>
        <w:trPr>
          <w:trHeight w:val="1765" w:hRule="atLeast"/>
        </w:trPr>
        <w:tc>
          <w:tcPr>
            <w:tcW w:w="4662"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6114" w:type="dxa"/>
            <w:tcBorders/>
            <w:shd w:color="auto" w:fill="auto" w:val="clear"/>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Header"/>
        <w:jc w:val="right"/>
        <w:rPr>
          <w:i/>
          <w:i/>
          <w:color w:val="002060"/>
        </w:rPr>
      </w:pPr>
      <w:r>
        <w:rPr>
          <w:i/>
          <w:color w:val="002060"/>
        </w:rPr>
        <w:t>Приложение № 3 к Договору поставки</w:t>
        <w:br/>
        <w:t>№______________ от «___»_______2025г.</w:t>
      </w:r>
    </w:p>
    <w:p>
      <w:pPr>
        <w:pStyle w:val="Header"/>
        <w:jc w:val="right"/>
        <w:rPr>
          <w:i/>
          <w:i/>
          <w:color w:val="002060"/>
        </w:rPr>
      </w:pPr>
      <w:r>
        <w:rPr>
          <w:i/>
          <w:color w:val="002060"/>
        </w:rPr>
        <w:t>между АО «Сахаэнерго» и _________________</w:t>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5"/>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20"/>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20"/>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20"/>
          <w:tab w:val="left" w:pos="993" w:leader="none"/>
        </w:tabs>
        <w:spacing w:before="0" w:after="0"/>
        <w:contextualSpacing/>
        <w:jc w:val="both"/>
        <w:rPr>
          <w:sz w:val="24"/>
          <w:szCs w:val="24"/>
        </w:rPr>
      </w:pPr>
      <w:r>
        <w:rPr>
          <w:sz w:val="24"/>
          <w:szCs w:val="24"/>
        </w:rPr>
      </w:r>
    </w:p>
    <w:p>
      <w:pPr>
        <w:pStyle w:val="Normal"/>
        <w:widowControl w:val="false"/>
        <w:tabs>
          <w:tab w:val="clear" w:pos="720"/>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20"/>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5.10.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5.11.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20"/>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20"/>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20"/>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20"/>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widowControl w:val="false"/>
        <w:jc w:val="center"/>
        <w:rPr>
          <w:sz w:val="24"/>
          <w:szCs w:val="24"/>
        </w:rPr>
      </w:pPr>
      <w:r>
        <w:rPr>
          <w:sz w:val="24"/>
          <w:szCs w:val="24"/>
        </w:rPr>
      </w:r>
    </w:p>
    <w:p>
      <w:pPr>
        <w:pStyle w:val="Normal"/>
        <w:widowControl w:val="false"/>
        <w:jc w:val="right"/>
        <w:rPr>
          <w:i/>
          <w:i/>
        </w:rPr>
      </w:pPr>
      <w:r>
        <w:rPr>
          <w:i/>
        </w:rPr>
      </w:r>
    </w:p>
    <w:p>
      <w:pPr>
        <w:pStyle w:val="Normal"/>
        <w:widowControl w:val="false"/>
        <w:jc w:val="right"/>
        <w:rPr>
          <w:i/>
          <w:i/>
        </w:rPr>
      </w:pPr>
      <w:r>
        <w:rPr>
          <w:i/>
        </w:rPr>
        <w:t xml:space="preserve">Приложение №1 </w:t>
      </w:r>
    </w:p>
    <w:p>
      <w:pPr>
        <w:pStyle w:val="Normal"/>
        <w:widowControl w:val="false"/>
        <w:jc w:val="right"/>
        <w:rPr>
          <w:i/>
          <w:i/>
        </w:rPr>
      </w:pPr>
      <w:r>
        <w:rPr>
          <w:i/>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2"/>
      </w:r>
    </w:p>
    <w:tbl>
      <w:tblPr>
        <w:tblW w:w="8931" w:type="dxa"/>
        <w:jc w:val="left"/>
        <w:tblInd w:w="109" w:type="dxa"/>
        <w:tblLayout w:type="fixed"/>
        <w:tblCellMar>
          <w:top w:w="0" w:type="dxa"/>
          <w:left w:w="108" w:type="dxa"/>
          <w:bottom w:w="0" w:type="dxa"/>
          <w:right w:w="108" w:type="dxa"/>
        </w:tblCellMar>
        <w:tblLook w:noVBand="0" w:val="01e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Header"/>
        <w:jc w:val="center"/>
        <w:rPr>
          <w:sz w:val="22"/>
          <w:szCs w:val="22"/>
        </w:rPr>
      </w:pPr>
      <w:r>
        <w:rPr>
          <w:sz w:val="22"/>
          <w:szCs w:val="22"/>
        </w:rPr>
      </w:r>
    </w:p>
    <w:p>
      <w:pPr>
        <w:pStyle w:val="Normal"/>
        <w:suppressAutoHyphens w:val="true"/>
        <w:jc w:val="both"/>
        <w:rPr>
          <w:rFonts w:eastAsia="BatangChe"/>
          <w:sz w:val="22"/>
          <w:szCs w:val="22"/>
        </w:rPr>
      </w:pPr>
      <w:r>
        <w:rPr>
          <w:rFonts w:eastAsia="BatangChe"/>
          <w:sz w:val="22"/>
          <w:szCs w:val="22"/>
        </w:rPr>
      </w:r>
    </w:p>
    <w:p>
      <w:pPr>
        <w:pStyle w:val="Normal"/>
        <w:suppressAutoHyphens w:val="true"/>
        <w:jc w:val="both"/>
        <w:rPr>
          <w:rFonts w:eastAsia="BatangChe"/>
          <w:sz w:val="22"/>
          <w:szCs w:val="22"/>
        </w:rPr>
      </w:pPr>
      <w:r>
        <w:rPr>
          <w:rFonts w:eastAsia="BatangChe"/>
          <w:sz w:val="22"/>
          <w:szCs w:val="22"/>
        </w:rPr>
      </w:r>
    </w:p>
    <w:p>
      <w:pPr>
        <w:pStyle w:val="Normal"/>
        <w:suppressAutoHyphens w:val="true"/>
        <w:jc w:val="both"/>
        <w:rPr>
          <w:rFonts w:eastAsia="BatangChe"/>
          <w:sz w:val="22"/>
          <w:szCs w:val="22"/>
        </w:rPr>
      </w:pPr>
      <w:r>
        <w:rPr>
          <w:rFonts w:eastAsia="BatangChe"/>
          <w:sz w:val="22"/>
          <w:szCs w:val="22"/>
        </w:rPr>
      </w:r>
    </w:p>
    <w:tbl>
      <w:tblPr>
        <w:tblW w:w="1077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662"/>
        <w:gridCol w:w="6114"/>
      </w:tblGrid>
      <w:tr>
        <w:trPr>
          <w:trHeight w:val="1765" w:hRule="atLeast"/>
        </w:trPr>
        <w:tc>
          <w:tcPr>
            <w:tcW w:w="4662"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6114" w:type="dxa"/>
            <w:tcBorders/>
            <w:shd w:color="auto" w:fill="auto" w:val="clear"/>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suppressAutoHyphens w:val="true"/>
        <w:jc w:val="both"/>
        <w:rPr>
          <w:rFonts w:eastAsia="BatangChe"/>
          <w:sz w:val="22"/>
          <w:szCs w:val="22"/>
        </w:rPr>
      </w:pPr>
      <w:r>
        <w:rPr>
          <w:rFonts w:eastAsia="BatangChe"/>
          <w:sz w:val="22"/>
          <w:szCs w:val="22"/>
        </w:rPr>
      </w:r>
    </w:p>
    <w:p>
      <w:pPr>
        <w:pStyle w:val="Normal"/>
        <w:suppressAutoHyphens w:val="true"/>
        <w:jc w:val="both"/>
        <w:rPr>
          <w:rFonts w:eastAsia="BatangChe"/>
          <w:sz w:val="22"/>
          <w:szCs w:val="22"/>
        </w:rPr>
      </w:pPr>
      <w:r>
        <w:rPr>
          <w:rFonts w:eastAsia="BatangChe"/>
          <w:sz w:val="22"/>
          <w:szCs w:val="22"/>
        </w:rPr>
      </w:r>
    </w:p>
    <w:p>
      <w:pPr>
        <w:pStyle w:val="Normal"/>
        <w:suppressAutoHyphens w:val="true"/>
        <w:jc w:val="center"/>
        <w:rPr>
          <w:rFonts w:eastAsia="BatangChe"/>
          <w:sz w:val="22"/>
          <w:szCs w:val="22"/>
        </w:rPr>
      </w:pPr>
      <w:r>
        <w:rPr/>
      </w:r>
    </w:p>
    <w:sectPr>
      <w:headerReference w:type="default" r:id="rId8"/>
      <w:headerReference w:type="first" r:id="rId9"/>
      <w:footerReference w:type="default" r:id="rId10"/>
      <w:footerReference w:type="first" r:id="rId11"/>
      <w:footnotePr>
        <w:numFmt w:val="decimal"/>
      </w:footnotePr>
      <w:type w:val="nextPage"/>
      <w:pgSz w:w="12240" w:h="15840"/>
      <w:pgMar w:left="1134" w:right="1134" w:gutter="0" w:header="567" w:top="1134" w:footer="379" w:bottom="1134"/>
      <w:pgNumType w:fmt="decimal"/>
      <w:formProt w:val="false"/>
      <w:titlePg/>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88" w:type="dxa"/>
      <w:jc w:val="left"/>
      <w:tblInd w:w="0" w:type="dxa"/>
      <w:tblLayout w:type="fixed"/>
      <w:tblCellMar>
        <w:top w:w="0" w:type="dxa"/>
        <w:left w:w="108" w:type="dxa"/>
        <w:bottom w:w="0" w:type="dxa"/>
        <w:right w:w="108" w:type="dxa"/>
      </w:tblCellMar>
      <w:tblLook w:lastRow="0" w:firstRow="1" w:lastColumn="0" w:firstColumn="1" w:val="04a0" w:noHBand="0" w:noVBand="1"/>
    </w:tblPr>
    <w:tblGrid>
      <w:gridCol w:w="5094"/>
      <w:gridCol w:w="5093"/>
    </w:tblGrid>
    <w:tr>
      <w:trPr/>
      <w:tc>
        <w:tcPr>
          <w:tcW w:w="5094" w:type="dxa"/>
          <w:tcBorders/>
          <w:shd w:color="auto" w:fill="auto" w:val="clear"/>
        </w:tcPr>
        <w:p>
          <w:pPr>
            <w:pStyle w:val="Footer"/>
            <w:widowControl w:val="false"/>
            <w:rPr/>
          </w:pPr>
          <w:r>
            <w:rPr/>
            <w:t>Покупатель_______________</w:t>
          </w:r>
        </w:p>
      </w:tc>
      <w:tc>
        <w:tcPr>
          <w:tcW w:w="5093" w:type="dxa"/>
          <w:tcBorders/>
          <w:shd w:color="auto" w:fill="auto" w:val="clear"/>
        </w:tcPr>
        <w:p>
          <w:pPr>
            <w:pStyle w:val="Footer"/>
            <w:widowControl w:val="false"/>
            <w:jc w:val="right"/>
            <w:rPr/>
          </w:pPr>
          <w:r>
            <w:rPr/>
            <w:t>Поставщик_______________</w:t>
          </w:r>
        </w:p>
      </w:tc>
    </w:tr>
  </w:tbl>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88" w:type="dxa"/>
      <w:jc w:val="left"/>
      <w:tblInd w:w="0" w:type="dxa"/>
      <w:tblLayout w:type="fixed"/>
      <w:tblCellMar>
        <w:top w:w="0" w:type="dxa"/>
        <w:left w:w="108" w:type="dxa"/>
        <w:bottom w:w="0" w:type="dxa"/>
        <w:right w:w="108" w:type="dxa"/>
      </w:tblCellMar>
      <w:tblLook w:lastRow="0" w:firstRow="1" w:lastColumn="0" w:firstColumn="1" w:val="04a0" w:noHBand="0" w:noVBand="1"/>
    </w:tblPr>
    <w:tblGrid>
      <w:gridCol w:w="5094"/>
      <w:gridCol w:w="5093"/>
    </w:tblGrid>
    <w:tr>
      <w:trPr/>
      <w:tc>
        <w:tcPr>
          <w:tcW w:w="5094" w:type="dxa"/>
          <w:tcBorders/>
          <w:shd w:color="auto" w:fill="auto" w:val="clear"/>
        </w:tcPr>
        <w:p>
          <w:pPr>
            <w:pStyle w:val="Footer"/>
            <w:widowControl w:val="false"/>
            <w:rPr/>
          </w:pPr>
          <w:r>
            <w:rPr/>
            <w:t>Покупатель_______________</w:t>
          </w:r>
        </w:p>
      </w:tc>
      <w:tc>
        <w:tcPr>
          <w:tcW w:w="5093" w:type="dxa"/>
          <w:tcBorders/>
          <w:shd w:color="auto" w:fill="auto" w:val="clear"/>
        </w:tcPr>
        <w:p>
          <w:pPr>
            <w:pStyle w:val="Footer"/>
            <w:widowControl w:val="false"/>
            <w:jc w:val="right"/>
            <w:rPr/>
          </w:pPr>
          <w:r>
            <w:rPr/>
            <w:t>Поставщик_______________</w:t>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8"/>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9</w:t>
    </w:r>
    <w:r>
      <w:rPr/>
      <w:fldChar w:fldCharType="end"/>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10</w:t>
    </w:r>
    <w:r>
      <w:rPr/>
      <w:fldChar w:fldCharType="end"/>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502"/>
        </w:tabs>
        <w:ind w:left="502" w:hanging="360"/>
      </w:pPr>
      <w:rPr>
        <w:rFonts w:ascii="Symbol" w:hAnsi="Symbol" w:cs="Symbol" w:hint="default"/>
      </w:rPr>
    </w:lvl>
    <w:lvl w:ilvl="1">
      <w:start w:val="1"/>
      <w:numFmt w:val="bullet"/>
      <w:lvlText w:val="o"/>
      <w:lvlJc w:val="left"/>
      <w:pPr>
        <w:tabs>
          <w:tab w:val="num" w:pos="1222"/>
        </w:tabs>
        <w:ind w:left="1222" w:hanging="360"/>
      </w:pPr>
      <w:rPr>
        <w:rFonts w:ascii="Courier New" w:hAnsi="Courier New" w:cs="Courier New" w:hint="default"/>
      </w:rPr>
    </w:lvl>
    <w:lvl w:ilvl="2">
      <w:start w:val="1"/>
      <w:numFmt w:val="bullet"/>
      <w:lvlText w:val=""/>
      <w:lvlJc w:val="left"/>
      <w:pPr>
        <w:tabs>
          <w:tab w:val="num" w:pos="1942"/>
        </w:tabs>
        <w:ind w:left="1942" w:hanging="360"/>
      </w:pPr>
      <w:rPr>
        <w:rFonts w:ascii="Wingdings" w:hAnsi="Wingdings" w:cs="Wingdings" w:hint="default"/>
      </w:rPr>
    </w:lvl>
    <w:lvl w:ilvl="3">
      <w:start w:val="1"/>
      <w:numFmt w:val="bullet"/>
      <w:lvlText w:val=""/>
      <w:lvlJc w:val="left"/>
      <w:pPr>
        <w:tabs>
          <w:tab w:val="num" w:pos="2662"/>
        </w:tabs>
        <w:ind w:left="2662" w:hanging="360"/>
      </w:pPr>
      <w:rPr>
        <w:rFonts w:ascii="Symbol" w:hAnsi="Symbol" w:cs="Symbol" w:hint="default"/>
      </w:rPr>
    </w:lvl>
    <w:lvl w:ilvl="4">
      <w:start w:val="1"/>
      <w:numFmt w:val="bullet"/>
      <w:lvlText w:val="o"/>
      <w:lvlJc w:val="left"/>
      <w:pPr>
        <w:tabs>
          <w:tab w:val="num" w:pos="3382"/>
        </w:tabs>
        <w:ind w:left="3382" w:hanging="360"/>
      </w:pPr>
      <w:rPr>
        <w:rFonts w:ascii="Courier New" w:hAnsi="Courier New" w:cs="Courier New" w:hint="default"/>
      </w:rPr>
    </w:lvl>
    <w:lvl w:ilvl="5">
      <w:start w:val="1"/>
      <w:numFmt w:val="bullet"/>
      <w:lvlText w:val=""/>
      <w:lvlJc w:val="left"/>
      <w:pPr>
        <w:tabs>
          <w:tab w:val="num" w:pos="4102"/>
        </w:tabs>
        <w:ind w:left="4102" w:hanging="360"/>
      </w:pPr>
      <w:rPr>
        <w:rFonts w:ascii="Wingdings" w:hAnsi="Wingdings" w:cs="Wingdings" w:hint="default"/>
      </w:rPr>
    </w:lvl>
    <w:lvl w:ilvl="6">
      <w:start w:val="1"/>
      <w:numFmt w:val="bullet"/>
      <w:lvlText w:val=""/>
      <w:lvlJc w:val="left"/>
      <w:pPr>
        <w:tabs>
          <w:tab w:val="num" w:pos="4822"/>
        </w:tabs>
        <w:ind w:left="4822" w:hanging="360"/>
      </w:pPr>
      <w:rPr>
        <w:rFonts w:ascii="Symbol" w:hAnsi="Symbol" w:cs="Symbol" w:hint="default"/>
      </w:rPr>
    </w:lvl>
    <w:lvl w:ilvl="7">
      <w:start w:val="1"/>
      <w:numFmt w:val="bullet"/>
      <w:lvlText w:val="o"/>
      <w:lvlJc w:val="left"/>
      <w:pPr>
        <w:tabs>
          <w:tab w:val="num" w:pos="5542"/>
        </w:tabs>
        <w:ind w:left="5542" w:hanging="360"/>
      </w:pPr>
      <w:rPr>
        <w:rFonts w:ascii="Courier New" w:hAnsi="Courier New" w:cs="Courier New" w:hint="default"/>
      </w:rPr>
    </w:lvl>
    <w:lvl w:ilvl="8">
      <w:start w:val="1"/>
      <w:numFmt w:val="bullet"/>
      <w:lvlText w:val=""/>
      <w:lvlJc w:val="left"/>
      <w:pPr>
        <w:tabs>
          <w:tab w:val="num" w:pos="6262"/>
        </w:tabs>
        <w:ind w:left="6262"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3">
    <w:lvl w:ilvl="0">
      <w:start w:val="1"/>
      <w:numFmt w:val="decimal"/>
      <w:lvlText w:val="%1."/>
      <w:lvlJc w:val="left"/>
      <w:pPr>
        <w:tabs>
          <w:tab w:val="num" w:pos="2378"/>
        </w:tabs>
        <w:ind w:left="1451" w:firstLine="567"/>
      </w:pPr>
      <w:rPr>
        <w:b/>
      </w:rPr>
    </w:lvl>
    <w:lvl w:ilvl="1">
      <w:start w:val="1"/>
      <w:numFmt w:val="decimal"/>
      <w:lvlText w:val="%1.%2."/>
      <w:lvlJc w:val="left"/>
      <w:pPr>
        <w:tabs>
          <w:tab w:val="num" w:pos="2738"/>
        </w:tabs>
        <w:ind w:left="1451" w:firstLine="567"/>
      </w:pPr>
      <w:rPr>
        <w:sz w:val="20"/>
        <w:b/>
        <w:szCs w:val="20"/>
      </w:rPr>
    </w:lvl>
    <w:lvl w:ilvl="2">
      <w:start w:val="1"/>
      <w:numFmt w:val="decimal"/>
      <w:lvlText w:val="%1.%2.%3."/>
      <w:lvlJc w:val="left"/>
      <w:pPr>
        <w:tabs>
          <w:tab w:val="num" w:pos="2738"/>
        </w:tabs>
        <w:ind w:left="1451" w:firstLine="567"/>
      </w:pPr>
      <w:rPr>
        <w:sz w:val="20"/>
        <w:i w:val="false"/>
        <w:b w:val="false"/>
        <w:szCs w:val="20"/>
        <w:rFonts w:ascii="Arial" w:hAnsi="Arial" w:cs="Times New Roman"/>
        <w:color w:val="auto"/>
      </w:rPr>
    </w:lvl>
    <w:lvl w:ilvl="3">
      <w:start w:val="1"/>
      <w:numFmt w:val="decimal"/>
      <w:lvlText w:val="%1.%2.%3.%4."/>
      <w:lvlJc w:val="left"/>
      <w:pPr>
        <w:tabs>
          <w:tab w:val="num" w:pos="3098"/>
        </w:tabs>
        <w:ind w:left="1451" w:firstLine="567"/>
      </w:pPr>
      <w:rPr/>
    </w:lvl>
    <w:lvl w:ilvl="4">
      <w:start w:val="1"/>
      <w:numFmt w:val="decimal"/>
      <w:lvlText w:val="%1.%2.%3.%4.%5."/>
      <w:lvlJc w:val="left"/>
      <w:pPr>
        <w:tabs>
          <w:tab w:val="num" w:pos="3098"/>
        </w:tabs>
        <w:ind w:left="1451" w:firstLine="567"/>
      </w:pPr>
      <w:rPr/>
    </w:lvl>
    <w:lvl w:ilvl="5">
      <w:start w:val="1"/>
      <w:numFmt w:val="decimal"/>
      <w:lvlText w:val="%1.%2.%3.%4.%5.%6."/>
      <w:lvlJc w:val="left"/>
      <w:pPr>
        <w:tabs>
          <w:tab w:val="num" w:pos="3620"/>
        </w:tabs>
        <w:ind w:left="3620" w:hanging="936"/>
      </w:pPr>
      <w:rPr/>
    </w:lvl>
    <w:lvl w:ilvl="6">
      <w:start w:val="1"/>
      <w:numFmt w:val="decimal"/>
      <w:lvlText w:val="%1.%2.%3.%4.%5.%6.%7."/>
      <w:lvlJc w:val="left"/>
      <w:pPr>
        <w:tabs>
          <w:tab w:val="num" w:pos="4124"/>
        </w:tabs>
        <w:ind w:left="4124" w:hanging="1080"/>
      </w:pPr>
      <w:rPr/>
    </w:lvl>
    <w:lvl w:ilvl="7">
      <w:start w:val="1"/>
      <w:numFmt w:val="decimal"/>
      <w:lvlText w:val="%1.%2.%3.%4.%5.%6.%7.%8."/>
      <w:lvlJc w:val="left"/>
      <w:pPr>
        <w:tabs>
          <w:tab w:val="num" w:pos="4628"/>
        </w:tabs>
        <w:ind w:left="4628" w:hanging="1224"/>
      </w:pPr>
      <w:rPr/>
    </w:lvl>
    <w:lvl w:ilvl="8">
      <w:start w:val="1"/>
      <w:numFmt w:val="decimal"/>
      <w:lvlText w:val="%1.%2.%3.%4.%5.%6.%7.%8.%9."/>
      <w:lvlJc w:val="left"/>
      <w:pPr>
        <w:tabs>
          <w:tab w:val="num" w:pos="5204"/>
        </w:tabs>
        <w:ind w:left="5204" w:hanging="1440"/>
      </w:pPr>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0"/>
  <w:defaultTabStop w:val="720"/>
  <w:autoHyphenation w:val="tru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Body Text Indent" w:uiPriority="0"/>
    <w:lsdException w:name="Subtitle" w:uiPriority="11" w:semiHidden="0" w:unhideWhenUsed="0" w:qFormat="1"/>
    <w:lsdException w:name="Block Text" w:uiPriority="0"/>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52bfb"/>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
    <w:uiPriority w:val="9"/>
    <w:qFormat/>
    <w:pPr>
      <w:keepNext w:val="true"/>
      <w:suppressAutoHyphens w:val="true"/>
      <w:jc w:val="center"/>
      <w:outlineLvl w:val="0"/>
    </w:pPr>
    <w:rPr>
      <w:color w:val="000080"/>
      <w:sz w:val="24"/>
    </w:rPr>
  </w:style>
  <w:style w:type="paragraph" w:styleId="Heading2">
    <w:name w:val="Heading 2"/>
    <w:basedOn w:val="Normal"/>
    <w:next w:val="Normal"/>
    <w:uiPriority w:val="9"/>
    <w:qFormat/>
    <w:pPr>
      <w:keepNext w:val="true"/>
      <w:suppressAutoHyphens w:val="true"/>
      <w:jc w:val="both"/>
      <w:outlineLvl w:val="1"/>
    </w:pPr>
    <w:rPr>
      <w:sz w:val="24"/>
    </w:rPr>
  </w:style>
  <w:style w:type="paragraph" w:styleId="Heading3">
    <w:name w:val="Heading 3"/>
    <w:basedOn w:val="Heading2"/>
    <w:next w:val="Normal"/>
    <w:link w:val="3"/>
    <w:uiPriority w:val="9"/>
    <w:semiHidden/>
    <w:unhideWhenUsed/>
    <w:qFormat/>
    <w:rsid w:val="006f5283"/>
    <w:pPr>
      <w:keepNext w:val="false"/>
      <w:tabs>
        <w:tab w:val="left" w:pos="720" w:leader="none"/>
      </w:tabs>
      <w:suppressAutoHyphens w:val="false"/>
      <w:ind w:left="720" w:hanging="720"/>
      <w:outlineLvl w:val="2"/>
    </w:pPr>
    <w:rPr/>
  </w:style>
  <w:style w:type="paragraph" w:styleId="Heading4">
    <w:name w:val="Heading 4"/>
    <w:basedOn w:val="Normal"/>
    <w:next w:val="Normal"/>
    <w:link w:val="4"/>
    <w:uiPriority w:val="9"/>
    <w:semiHidden/>
    <w:unhideWhenUsed/>
    <w:qFormat/>
    <w:rsid w:val="006f5283"/>
    <w:pPr>
      <w:keepNext w:val="true"/>
      <w:tabs>
        <w:tab w:val="clear" w:pos="720"/>
        <w:tab w:val="left" w:pos="864" w:leader="none"/>
      </w:tabs>
      <w:ind w:left="864" w:hanging="864"/>
      <w:jc w:val="both"/>
      <w:outlineLvl w:val="3"/>
    </w:pPr>
    <w:rPr>
      <w:sz w:val="24"/>
    </w:rPr>
  </w:style>
  <w:style w:type="paragraph" w:styleId="Heading5">
    <w:name w:val="Heading 5"/>
    <w:basedOn w:val="Normal"/>
    <w:next w:val="Normal"/>
    <w:link w:val="5"/>
    <w:semiHidden/>
    <w:unhideWhenUsed/>
    <w:qFormat/>
    <w:rsid w:val="006f5283"/>
    <w:pPr>
      <w:tabs>
        <w:tab w:val="clear" w:pos="720"/>
        <w:tab w:val="left" w:pos="1008" w:leader="none"/>
      </w:tabs>
      <w:ind w:left="1008" w:hanging="1008"/>
      <w:jc w:val="both"/>
      <w:outlineLvl w:val="4"/>
    </w:pPr>
    <w:rPr>
      <w:sz w:val="24"/>
    </w:rPr>
  </w:style>
  <w:style w:type="character" w:styleId="DefaultParagraphFont" w:default="1">
    <w:name w:val="Default Paragraph Font"/>
    <w:uiPriority w:val="1"/>
    <w:semiHidden/>
    <w:unhideWhenUsed/>
    <w:qFormat/>
    <w:rPr/>
  </w:style>
  <w:style w:type="character" w:styleId="Style4" w:customStyle="1">
    <w:name w:val="Верхний колонтитул Знак"/>
    <w:basedOn w:val="DefaultParagraphFont"/>
    <w:uiPriority w:val="99"/>
    <w:qFormat/>
    <w:rsid w:val="008b4bbd"/>
    <w:rPr/>
  </w:style>
  <w:style w:type="character" w:styleId="Style5" w:customStyle="1">
    <w:name w:val="Нижний колонтитул Знак"/>
    <w:basedOn w:val="DefaultParagraphFont"/>
    <w:uiPriority w:val="99"/>
    <w:qFormat/>
    <w:rsid w:val="008b4bbd"/>
    <w:rPr/>
  </w:style>
  <w:style w:type="character" w:styleId="Style6" w:customStyle="1">
    <w:name w:val="Текст выноски Знак"/>
    <w:link w:val="BalloonText"/>
    <w:uiPriority w:val="99"/>
    <w:semiHidden/>
    <w:qFormat/>
    <w:rsid w:val="00996d49"/>
    <w:rPr>
      <w:rFonts w:ascii="Tahoma" w:hAnsi="Tahoma" w:cs="Tahoma"/>
      <w:sz w:val="16"/>
      <w:szCs w:val="16"/>
    </w:rPr>
  </w:style>
  <w:style w:type="character" w:styleId="Hyperlink">
    <w:name w:val="Hyperlink"/>
    <w:rsid w:val="00f37d91"/>
    <w:rPr>
      <w:rFonts w:cs="Times New Roman"/>
      <w:color w:val="0000FF"/>
      <w:u w:val="single"/>
    </w:rPr>
  </w:style>
  <w:style w:type="character" w:styleId="2" w:customStyle="1">
    <w:name w:val="Основной текст 2 Знак"/>
    <w:basedOn w:val="DefaultParagraphFont"/>
    <w:link w:val="BodyText2"/>
    <w:uiPriority w:val="99"/>
    <w:qFormat/>
    <w:rsid w:val="00ce1c96"/>
    <w:rPr/>
  </w:style>
  <w:style w:type="character" w:styleId="21" w:customStyle="1">
    <w:name w:val="Основной текст с отступом 2 Знак"/>
    <w:basedOn w:val="DefaultParagraphFont"/>
    <w:link w:val="BodyTextIndent2"/>
    <w:uiPriority w:val="99"/>
    <w:semiHidden/>
    <w:qFormat/>
    <w:rsid w:val="00d32578"/>
    <w:rPr/>
  </w:style>
  <w:style w:type="character" w:styleId="FollowedHyperlink">
    <w:name w:val="FollowedHyperlink"/>
    <w:uiPriority w:val="99"/>
    <w:semiHidden/>
    <w:unhideWhenUsed/>
    <w:rsid w:val="0088432c"/>
    <w:rPr>
      <w:color w:val="800080"/>
      <w:u w:val="single"/>
    </w:rPr>
  </w:style>
  <w:style w:type="character" w:styleId="Style7" w:customStyle="1">
    <w:name w:val="Текст сноски Знак"/>
    <w:basedOn w:val="DefaultParagraphFont"/>
    <w:uiPriority w:val="99"/>
    <w:qFormat/>
    <w:rsid w:val="008c1954"/>
    <w:rPr/>
  </w:style>
  <w:style w:type="character" w:styleId="Style8">
    <w:name w:val="Символ сноски"/>
    <w:uiPriority w:val="99"/>
    <w:qFormat/>
    <w:rsid w:val="008c1954"/>
    <w:rPr>
      <w:rFonts w:cs="Times New Roman"/>
      <w:vertAlign w:val="superscript"/>
    </w:rPr>
  </w:style>
  <w:style w:type="character" w:styleId="FootnoteReference">
    <w:name w:val="Footnote Reference"/>
    <w:rPr>
      <w:rFonts w:cs="Times New Roman"/>
      <w:vertAlign w:val="superscript"/>
    </w:rPr>
  </w:style>
  <w:style w:type="character" w:styleId="3" w:customStyle="1">
    <w:name w:val="Заголовок 3 Знак"/>
    <w:basedOn w:val="DefaultParagraphFont"/>
    <w:uiPriority w:val="9"/>
    <w:semiHidden/>
    <w:qFormat/>
    <w:rsid w:val="006f5283"/>
    <w:rPr>
      <w:sz w:val="24"/>
    </w:rPr>
  </w:style>
  <w:style w:type="character" w:styleId="4" w:customStyle="1">
    <w:name w:val="Заголовок 4 Знак"/>
    <w:basedOn w:val="DefaultParagraphFont"/>
    <w:uiPriority w:val="9"/>
    <w:semiHidden/>
    <w:qFormat/>
    <w:rsid w:val="006f5283"/>
    <w:rPr>
      <w:sz w:val="24"/>
    </w:rPr>
  </w:style>
  <w:style w:type="character" w:styleId="5" w:customStyle="1">
    <w:name w:val="Заголовок 5 Знак"/>
    <w:basedOn w:val="DefaultParagraphFont"/>
    <w:semiHidden/>
    <w:qFormat/>
    <w:rsid w:val="006f5283"/>
    <w:rPr>
      <w:sz w:val="24"/>
    </w:rPr>
  </w:style>
  <w:style w:type="character" w:styleId="1" w:customStyle="1">
    <w:name w:val="Заголовок 1 Знак"/>
    <w:basedOn w:val="DefaultParagraphFont"/>
    <w:uiPriority w:val="9"/>
    <w:qFormat/>
    <w:rsid w:val="006f5283"/>
    <w:rPr>
      <w:color w:val="000080"/>
      <w:sz w:val="24"/>
    </w:rPr>
  </w:style>
  <w:style w:type="character" w:styleId="Style9" w:customStyle="1">
    <w:name w:val="Основной текст с отступом Знак"/>
    <w:semiHidden/>
    <w:qFormat/>
    <w:rsid w:val="00b2241b"/>
    <w:rPr>
      <w:sz w:val="24"/>
    </w:rPr>
  </w:style>
  <w:style w:type="character" w:styleId="Style10">
    <w:name w:val="Символ концевой сноски"/>
    <w:qFormat/>
    <w:rPr>
      <w:vertAlign w:val="superscript"/>
    </w:rPr>
  </w:style>
  <w:style w:type="character" w:styleId="EndnoteReference">
    <w:name w:val="Endnote Reference"/>
    <w:rPr>
      <w:vertAlign w:val="superscript"/>
    </w:rPr>
  </w:style>
  <w:style w:type="paragraph" w:styleId="Style11">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semiHidden/>
    <w:pPr>
      <w:suppressAutoHyphens w:val="true"/>
      <w:jc w:val="both"/>
    </w:pPr>
    <w:rPr>
      <w:sz w:val="24"/>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2">
    <w:name w:val="Указатель"/>
    <w:basedOn w:val="Normal"/>
    <w:qFormat/>
    <w:pPr>
      <w:suppressLineNumbers/>
    </w:pPr>
    <w:rPr>
      <w:rFonts w:cs="Lohit Devanagari"/>
    </w:rPr>
  </w:style>
  <w:style w:type="paragraph" w:styleId="11" w:customStyle="1">
    <w:name w:val="Название1"/>
    <w:basedOn w:val="Normal"/>
    <w:qFormat/>
    <w:pPr>
      <w:jc w:val="center"/>
    </w:pPr>
    <w:rPr>
      <w:color w:val="000080"/>
      <w:sz w:val="24"/>
    </w:rPr>
  </w:style>
  <w:style w:type="paragraph" w:styleId="Subtitle">
    <w:name w:val="Subtitle"/>
    <w:basedOn w:val="Normal"/>
    <w:qFormat/>
    <w:pPr>
      <w:suppressAutoHyphens w:val="true"/>
      <w:jc w:val="center"/>
    </w:pPr>
    <w:rPr>
      <w:color w:val="000080"/>
      <w:sz w:val="24"/>
    </w:rPr>
  </w:style>
  <w:style w:type="paragraph" w:styleId="BodyTextIndent">
    <w:name w:val="Body Text Indent"/>
    <w:basedOn w:val="Normal"/>
    <w:link w:val="Style9"/>
    <w:semiHidden/>
    <w:pPr>
      <w:ind w:firstLine="426"/>
    </w:pPr>
    <w:rPr>
      <w:sz w:val="24"/>
    </w:rPr>
  </w:style>
  <w:style w:type="paragraph" w:styleId="14" w:customStyle="1">
    <w:name w:val="Стиль14"/>
    <w:basedOn w:val="Normal"/>
    <w:qFormat/>
    <w:pPr>
      <w:spacing w:lineRule="auto" w:line="264"/>
      <w:ind w:firstLine="720"/>
      <w:jc w:val="both"/>
    </w:pPr>
    <w:rPr>
      <w:sz w:val="28"/>
    </w:rPr>
  </w:style>
  <w:style w:type="paragraph" w:styleId="Style13">
    <w:name w:val="Колонтитул"/>
    <w:basedOn w:val="Normal"/>
    <w:qFormat/>
    <w:pPr/>
    <w:rPr/>
  </w:style>
  <w:style w:type="paragraph" w:styleId="Header">
    <w:name w:val="Header"/>
    <w:basedOn w:val="Normal"/>
    <w:link w:val="Style4"/>
    <w:uiPriority w:val="99"/>
    <w:unhideWhenUsed/>
    <w:rsid w:val="008b4bbd"/>
    <w:pPr>
      <w:tabs>
        <w:tab w:val="clear" w:pos="720"/>
        <w:tab w:val="center" w:pos="4677" w:leader="none"/>
        <w:tab w:val="right" w:pos="9355" w:leader="none"/>
      </w:tabs>
    </w:pPr>
    <w:rPr/>
  </w:style>
  <w:style w:type="paragraph" w:styleId="Footer">
    <w:name w:val="Footer"/>
    <w:basedOn w:val="Normal"/>
    <w:link w:val="Style5"/>
    <w:uiPriority w:val="99"/>
    <w:unhideWhenUsed/>
    <w:rsid w:val="008b4bbd"/>
    <w:pPr>
      <w:tabs>
        <w:tab w:val="clear" w:pos="720"/>
        <w:tab w:val="center" w:pos="4677" w:leader="none"/>
        <w:tab w:val="right" w:pos="9355" w:leader="none"/>
      </w:tabs>
    </w:pPr>
    <w:rPr/>
  </w:style>
  <w:style w:type="paragraph" w:styleId="BalloonText">
    <w:name w:val="Balloon Text"/>
    <w:basedOn w:val="Normal"/>
    <w:link w:val="Style6"/>
    <w:uiPriority w:val="99"/>
    <w:semiHidden/>
    <w:unhideWhenUsed/>
    <w:qFormat/>
    <w:rsid w:val="00996d49"/>
    <w:pPr/>
    <w:rPr>
      <w:rFonts w:ascii="Tahoma" w:hAnsi="Tahoma"/>
      <w:sz w:val="16"/>
      <w:szCs w:val="16"/>
      <w:lang w:val="x-none" w:eastAsia="x-none"/>
    </w:rPr>
  </w:style>
  <w:style w:type="paragraph" w:styleId="BodyText2">
    <w:name w:val="Body Text 2"/>
    <w:basedOn w:val="Normal"/>
    <w:link w:val="2"/>
    <w:uiPriority w:val="99"/>
    <w:unhideWhenUsed/>
    <w:qFormat/>
    <w:rsid w:val="00ce1c96"/>
    <w:pPr>
      <w:spacing w:lineRule="auto" w:line="480" w:before="0" w:after="120"/>
    </w:pPr>
    <w:rPr/>
  </w:style>
  <w:style w:type="paragraph" w:styleId="BlockText">
    <w:name w:val="Block Text"/>
    <w:basedOn w:val="Normal"/>
    <w:semiHidden/>
    <w:unhideWhenUsed/>
    <w:qFormat/>
    <w:rsid w:val="002c68da"/>
    <w:pPr>
      <w:ind w:left="240" w:right="-1" w:firstLine="468"/>
      <w:jc w:val="both"/>
    </w:pPr>
    <w:rPr>
      <w:sz w:val="22"/>
    </w:rPr>
  </w:style>
  <w:style w:type="paragraph" w:styleId="BodyTextIndent2">
    <w:name w:val="Body Text Indent 2"/>
    <w:basedOn w:val="Normal"/>
    <w:link w:val="21"/>
    <w:uiPriority w:val="99"/>
    <w:semiHidden/>
    <w:unhideWhenUsed/>
    <w:qFormat/>
    <w:rsid w:val="00d32578"/>
    <w:pPr>
      <w:spacing w:lineRule="auto" w:line="480" w:before="0" w:after="120"/>
      <w:ind w:left="283" w:hanging="0"/>
    </w:pPr>
    <w:rPr/>
  </w:style>
  <w:style w:type="paragraph" w:styleId="FootnoteText">
    <w:name w:val="Footnote Text"/>
    <w:basedOn w:val="Normal"/>
    <w:link w:val="Style7"/>
    <w:uiPriority w:val="99"/>
    <w:unhideWhenUsed/>
    <w:rsid w:val="008c1954"/>
    <w:pPr/>
    <w:rPr/>
  </w:style>
  <w:style w:type="paragraph" w:styleId="Default" w:customStyle="1">
    <w:name w:val="Default"/>
    <w:qFormat/>
    <w:rsid w:val="00e014a4"/>
    <w:pPr>
      <w:widowControl/>
      <w:suppressAutoHyphens w:val="true"/>
      <w:bidi w:val="0"/>
      <w:spacing w:before="0" w:after="0"/>
      <w:jc w:val="left"/>
    </w:pPr>
    <w:rPr>
      <w:rFonts w:ascii="Times New Roman" w:hAnsi="Times New Roman" w:eastAsia="Calibri" w:cs="Times New Roman"/>
      <w:color w:val="000000"/>
      <w:kern w:val="0"/>
      <w:sz w:val="24"/>
      <w:szCs w:val="24"/>
      <w:lang w:val="ru-RU" w:eastAsia="en-US" w:bidi="ar-SA"/>
    </w:rPr>
  </w:style>
  <w:style w:type="paragraph" w:styleId="ListParagraph">
    <w:name w:val="List Paragraph"/>
    <w:basedOn w:val="Normal"/>
    <w:uiPriority w:val="34"/>
    <w:qFormat/>
    <w:rsid w:val="00e40417"/>
    <w:pPr>
      <w:spacing w:before="0" w:after="0"/>
      <w:ind w:left="720" w:hanging="0"/>
      <w:contextualSpacing/>
    </w:pPr>
    <w:rPr/>
  </w:style>
  <w:style w:type="paragraph" w:styleId="ConsPlusNonformat" w:customStyle="1">
    <w:name w:val="ConsPlusNonformat"/>
    <w:qFormat/>
    <w:rsid w:val="00226b40"/>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ListBul2" w:customStyle="1">
    <w:name w:val="ListBul2"/>
    <w:basedOn w:val="Normal"/>
    <w:qFormat/>
    <w:rsid w:val="00314320"/>
    <w:pPr>
      <w:numPr>
        <w:ilvl w:val="0"/>
        <w:numId w:val="2"/>
      </w:numPr>
      <w:tabs>
        <w:tab w:val="clear" w:pos="720"/>
        <w:tab w:val="left" w:pos="567" w:leader="none"/>
      </w:tabs>
      <w:jc w:val="both"/>
    </w:pPr>
    <w:rPr>
      <w:sz w:val="22"/>
      <w:szCs w:val="24"/>
    </w:rPr>
  </w:style>
  <w:style w:type="paragraph" w:styleId="12" w:customStyle="1">
    <w:name w:val="Заголовок ТУ №1"/>
    <w:basedOn w:val="Heading1"/>
    <w:qFormat/>
    <w:rsid w:val="00ec7897"/>
    <w:pPr>
      <w:numPr>
        <w:ilvl w:val="0"/>
        <w:numId w:val="3"/>
      </w:numPr>
      <w:tabs>
        <w:tab w:val="clear" w:pos="720"/>
        <w:tab w:val="left" w:pos="993" w:leader="none"/>
      </w:tabs>
      <w:suppressAutoHyphens w:val="false"/>
      <w:ind w:left="0" w:firstLine="284"/>
      <w:jc w:val="left"/>
    </w:pPr>
    <w:rPr>
      <w:rFonts w:ascii="Arial" w:hAnsi="Arial"/>
      <w:b/>
      <w:color w:val="auto"/>
      <w:sz w:val="20"/>
    </w:rPr>
  </w:style>
  <w:style w:type="paragraph" w:styleId="22" w:customStyle="1">
    <w:name w:val="Заголовок ТУ №2"/>
    <w:basedOn w:val="Heading2"/>
    <w:qFormat/>
    <w:rsid w:val="00ec7897"/>
    <w:pPr>
      <w:keepNext w:val="false"/>
      <w:numPr>
        <w:ilvl w:val="1"/>
        <w:numId w:val="3"/>
      </w:numPr>
      <w:tabs>
        <w:tab w:val="clear" w:pos="720"/>
        <w:tab w:val="left" w:pos="993" w:leader="none"/>
      </w:tabs>
      <w:suppressAutoHyphens w:val="false"/>
      <w:ind w:left="0" w:firstLine="284"/>
    </w:pPr>
    <w:rPr>
      <w:rFonts w:ascii="Arial" w:hAnsi="Arial"/>
      <w:b/>
      <w:sz w:val="20"/>
    </w:rPr>
  </w:style>
  <w:style w:type="paragraph" w:styleId="Style14">
    <w:name w:val="Содержимое таблицы"/>
    <w:basedOn w:val="Normal"/>
    <w:qFormat/>
    <w:pPr>
      <w:widowControl w:val="false"/>
      <w:suppressLineNumbers/>
    </w:pPr>
    <w:rPr/>
  </w:style>
  <w:style w:type="paragraph" w:styleId="Style15">
    <w:name w:val="Заголовок таблицы"/>
    <w:basedOn w:val="Style14"/>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d">
    <w:name w:val="Table Grid"/>
    <w:basedOn w:val="a1"/>
    <w:uiPriority w:val="59"/>
    <w:rsid w:val="00d25ba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Сетка таблицы1"/>
    <w:basedOn w:val="a1"/>
    <w:uiPriority w:val="59"/>
    <w:rsid w:val="002c688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sakhaenergo.ru"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header" Target="header1.xml"/><Relationship Id="rId6" Type="http://schemas.openxmlformats.org/officeDocument/2006/relationships/footer" Target="footer3.xml"/><Relationship Id="rId7" Type="http://schemas.openxmlformats.org/officeDocument/2006/relationships/footer" Target="footer4.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5.xml"/><Relationship Id="rId11" Type="http://schemas.openxmlformats.org/officeDocument/2006/relationships/footer" Target="footer6.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b:Source>
    <b:Tag>1233</b:Tag>
    <b:SourceType>Book</b:SourceType>
    <b:Guid>{D1E534E1-16AC-4ED8-B269-362C76B02FCB}</b:Guid>
    <b:Author>
      <b:Author>
        <b:NameList>
          <b:Person>
            <b:Last>123</b:Last>
          </b:Person>
        </b:NameList>
      </b:Author>
    </b:Author>
    <b:Title>123</b:Title>
    <b:Year>3</b:Year>
    <b:City>2</b:City>
    <b:Publisher>1</b:Publisher>
    <b:RefOrder>2</b:RefOrder>
  </b:Source>
  <b:Source>
    <b:Tag>5456</b:Tag>
    <b:RefOrder>1</b:RefOrder>
  </b:Source>
</b:Sources>
</file>

<file path=customXml/itemProps1.xml><?xml version="1.0" encoding="utf-8"?>
<ds:datastoreItem xmlns:ds="http://schemas.openxmlformats.org/officeDocument/2006/customXml" ds:itemID="{EFFFF34C-2FD5-4203-AB85-DFFA4AAE7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Application>AlterOffice/3.4.0.8$Linux_X86_64 LibreOffice_project/8f3f3c847f0b8d6fea24e251d3d8ed4f23cbe23c</Application>
  <AppVersion>15.0000</AppVersion>
  <Pages>21</Pages>
  <Words>7697</Words>
  <Characters>55317</Characters>
  <CharactersWithSpaces>62693</CharactersWithSpaces>
  <Paragraphs>434</Paragraphs>
  <Company>АК "Якутскэнерго"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2023-10-05T04:46:00Z</dcterms:created>
  <dc:creator>Попов Айсен Степанович</dc:creator>
  <dc:description/>
  <cp:keywords>проект договора</cp:keywords>
  <dc:language>ru-RU</dc:language>
  <cp:lastModifiedBy>karpovaand@sed.local</cp:lastModifiedBy>
  <cp:lastPrinted>2022-06-02T03:40:00Z</cp:lastPrinted>
  <dcterms:modified xsi:type="dcterms:W3CDTF">2025-06-24T07:54:04Z</dcterms:modified>
  <cp:revision>44</cp:revision>
  <dc:subject/>
  <dc:title>№Пост/МТР/ТИИ/ТП-323/328/333/468</dc:title>
</cp:coreProperties>
</file>

<file path=docProps/custom.xml><?xml version="1.0" encoding="utf-8"?>
<Properties xmlns="http://schemas.openxmlformats.org/officeDocument/2006/custom-properties" xmlns:vt="http://schemas.openxmlformats.org/officeDocument/2006/docPropsVTypes"/>
</file>